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00" w:rsidRDefault="00BF6800" w:rsidP="009B4251">
      <w:pPr>
        <w:jc w:val="both"/>
        <w:rPr>
          <w:b/>
          <w:sz w:val="24"/>
          <w:szCs w:val="24"/>
        </w:rPr>
      </w:pPr>
      <w:bookmarkStart w:id="0" w:name="_GoBack"/>
      <w:bookmarkEnd w:id="0"/>
    </w:p>
    <w:p w:rsidR="007C7980" w:rsidRPr="00863DC8" w:rsidRDefault="007C7980" w:rsidP="00863DC8">
      <w:pPr>
        <w:jc w:val="center"/>
        <w:rPr>
          <w:b/>
          <w:sz w:val="48"/>
          <w:szCs w:val="48"/>
        </w:rPr>
      </w:pPr>
      <w:r w:rsidRPr="00863DC8">
        <w:rPr>
          <w:b/>
          <w:sz w:val="48"/>
          <w:szCs w:val="48"/>
        </w:rPr>
        <w:t>Thales Alenia Space</w:t>
      </w:r>
    </w:p>
    <w:p w:rsidR="00FB3739" w:rsidRDefault="005E1A29" w:rsidP="00ED3183">
      <w:pPr>
        <w:jc w:val="center"/>
        <w:rPr>
          <w:b/>
          <w:sz w:val="24"/>
          <w:szCs w:val="24"/>
          <w:lang w:val="en-US"/>
        </w:rPr>
      </w:pPr>
      <w:r w:rsidRPr="005E1A29">
        <w:rPr>
          <w:b/>
          <w:sz w:val="24"/>
          <w:szCs w:val="24"/>
        </w:rPr>
        <w:t>Cislunar Gateway – International Habitat (I-HAB)</w:t>
      </w:r>
      <w:r w:rsidR="00FB3739">
        <w:rPr>
          <w:b/>
          <w:sz w:val="24"/>
          <w:szCs w:val="24"/>
        </w:rPr>
        <w:t xml:space="preserve"> </w:t>
      </w:r>
      <w:r w:rsidRPr="006D59F7">
        <w:rPr>
          <w:b/>
          <w:sz w:val="24"/>
          <w:szCs w:val="24"/>
          <w:lang w:val="en-US"/>
        </w:rPr>
        <w:t>Phases B2/C/D/E1</w:t>
      </w:r>
    </w:p>
    <w:p w:rsidR="00FB3739" w:rsidRDefault="00FB3739" w:rsidP="00ED3183">
      <w:pPr>
        <w:jc w:val="center"/>
        <w:rPr>
          <w:b/>
          <w:sz w:val="24"/>
          <w:szCs w:val="24"/>
          <w:lang w:val="en-US"/>
        </w:rPr>
      </w:pPr>
      <w:r>
        <w:rPr>
          <w:b/>
          <w:sz w:val="24"/>
          <w:szCs w:val="24"/>
          <w:lang w:val="en-US"/>
        </w:rPr>
        <w:t>Noti</w:t>
      </w:r>
      <w:r w:rsidR="000774F6">
        <w:rPr>
          <w:b/>
          <w:sz w:val="24"/>
          <w:szCs w:val="24"/>
          <w:lang w:val="en-US"/>
        </w:rPr>
        <w:t>ce</w:t>
      </w:r>
      <w:r>
        <w:rPr>
          <w:b/>
          <w:sz w:val="24"/>
          <w:szCs w:val="24"/>
          <w:lang w:val="en-US"/>
        </w:rPr>
        <w:t xml:space="preserve"> </w:t>
      </w:r>
      <w:r w:rsidRPr="00FB3739">
        <w:rPr>
          <w:b/>
          <w:sz w:val="24"/>
          <w:szCs w:val="24"/>
          <w:lang w:val="en-US"/>
        </w:rPr>
        <w:t xml:space="preserve">to all potential </w:t>
      </w:r>
      <w:r w:rsidR="00C73C18">
        <w:rPr>
          <w:b/>
          <w:sz w:val="24"/>
          <w:szCs w:val="24"/>
          <w:lang w:val="en-US"/>
        </w:rPr>
        <w:t>subcontractors</w:t>
      </w:r>
    </w:p>
    <w:p w:rsidR="00981916" w:rsidRDefault="00981916" w:rsidP="00ED3183">
      <w:pPr>
        <w:jc w:val="center"/>
        <w:rPr>
          <w:b/>
          <w:sz w:val="24"/>
          <w:szCs w:val="24"/>
          <w:lang w:val="en-US"/>
        </w:rPr>
      </w:pPr>
    </w:p>
    <w:p w:rsidR="004B1E95" w:rsidRPr="00CC50E3" w:rsidRDefault="00981916" w:rsidP="004B1E95">
      <w:pPr>
        <w:pStyle w:val="ListParagraph"/>
        <w:numPr>
          <w:ilvl w:val="0"/>
          <w:numId w:val="5"/>
        </w:numPr>
        <w:jc w:val="both"/>
        <w:rPr>
          <w:b/>
          <w:sz w:val="24"/>
          <w:szCs w:val="24"/>
          <w:lang w:val="en-US"/>
        </w:rPr>
      </w:pPr>
      <w:r w:rsidRPr="00CC50E3">
        <w:rPr>
          <w:b/>
          <w:sz w:val="24"/>
          <w:szCs w:val="24"/>
          <w:lang w:val="en-US"/>
        </w:rPr>
        <w:t>INTRODUCTION</w:t>
      </w:r>
    </w:p>
    <w:p w:rsidR="00F102E4" w:rsidRDefault="00F102E4" w:rsidP="009B4251">
      <w:pPr>
        <w:jc w:val="both"/>
        <w:rPr>
          <w:sz w:val="24"/>
          <w:szCs w:val="24"/>
        </w:rPr>
      </w:pPr>
      <w:r w:rsidRPr="00F102E4">
        <w:rPr>
          <w:sz w:val="24"/>
          <w:szCs w:val="24"/>
        </w:rPr>
        <w:t>The Cislunar Gateway- International Habitat (I-</w:t>
      </w:r>
      <w:r w:rsidR="000774F6" w:rsidRPr="00F102E4">
        <w:rPr>
          <w:sz w:val="24"/>
          <w:szCs w:val="24"/>
        </w:rPr>
        <w:t>HA</w:t>
      </w:r>
      <w:r w:rsidR="000774F6">
        <w:rPr>
          <w:sz w:val="24"/>
          <w:szCs w:val="24"/>
        </w:rPr>
        <w:t>B</w:t>
      </w:r>
      <w:r w:rsidRPr="00F102E4">
        <w:rPr>
          <w:sz w:val="24"/>
          <w:szCs w:val="24"/>
        </w:rPr>
        <w:t>) is ESA’s contribution of an infrastructure element supporting the Gateway with full crew habitability and utilization requirements from</w:t>
      </w:r>
      <w:r w:rsidR="000774F6">
        <w:rPr>
          <w:sz w:val="24"/>
          <w:szCs w:val="24"/>
        </w:rPr>
        <w:t xml:space="preserve"> early</w:t>
      </w:r>
      <w:r w:rsidRPr="00F102E4">
        <w:rPr>
          <w:sz w:val="24"/>
          <w:szCs w:val="24"/>
        </w:rPr>
        <w:t xml:space="preserve"> </w:t>
      </w:r>
      <w:r w:rsidR="000A7248" w:rsidRPr="008331DF">
        <w:rPr>
          <w:sz w:val="24"/>
          <w:szCs w:val="24"/>
        </w:rPr>
        <w:t>2026</w:t>
      </w:r>
      <w:r w:rsidRPr="008331DF">
        <w:rPr>
          <w:sz w:val="24"/>
          <w:szCs w:val="24"/>
        </w:rPr>
        <w:t>.</w:t>
      </w:r>
      <w:r w:rsidRPr="00F102E4">
        <w:rPr>
          <w:sz w:val="24"/>
          <w:szCs w:val="24"/>
        </w:rPr>
        <w:t xml:space="preserve"> The I-</w:t>
      </w:r>
      <w:r w:rsidR="000774F6" w:rsidRPr="00F102E4">
        <w:rPr>
          <w:sz w:val="24"/>
          <w:szCs w:val="24"/>
        </w:rPr>
        <w:t>HA</w:t>
      </w:r>
      <w:r w:rsidR="000774F6">
        <w:rPr>
          <w:sz w:val="24"/>
          <w:szCs w:val="24"/>
        </w:rPr>
        <w:t>B</w:t>
      </w:r>
      <w:r w:rsidR="000774F6" w:rsidRPr="00F102E4">
        <w:rPr>
          <w:sz w:val="24"/>
          <w:szCs w:val="24"/>
        </w:rPr>
        <w:t xml:space="preserve"> </w:t>
      </w:r>
      <w:r w:rsidRPr="00F102E4">
        <w:rPr>
          <w:sz w:val="24"/>
          <w:szCs w:val="24"/>
        </w:rPr>
        <w:t>includes contribution</w:t>
      </w:r>
      <w:r w:rsidR="000774F6">
        <w:rPr>
          <w:sz w:val="24"/>
          <w:szCs w:val="24"/>
        </w:rPr>
        <w:t>s</w:t>
      </w:r>
      <w:r w:rsidRPr="00F102E4">
        <w:rPr>
          <w:sz w:val="24"/>
          <w:szCs w:val="24"/>
        </w:rPr>
        <w:t xml:space="preserve"> from USA, Japan and Canada</w:t>
      </w:r>
      <w:r w:rsidR="000774F6">
        <w:rPr>
          <w:sz w:val="24"/>
          <w:szCs w:val="24"/>
        </w:rPr>
        <w:t xml:space="preserve"> Space Agencies</w:t>
      </w:r>
      <w:r w:rsidRPr="00F102E4">
        <w:rPr>
          <w:sz w:val="24"/>
          <w:szCs w:val="24"/>
        </w:rPr>
        <w:t xml:space="preserve">.  The Cislunar Gateway is a multi-element infrastructure designed to support both robotic and human exploration of cis-lunar space and act as “basecamp” for sustained lunar exploration. </w:t>
      </w:r>
    </w:p>
    <w:p w:rsidR="00981916" w:rsidRDefault="00F102E4" w:rsidP="009B4251">
      <w:pPr>
        <w:jc w:val="both"/>
        <w:rPr>
          <w:sz w:val="24"/>
          <w:szCs w:val="24"/>
          <w:lang w:val="en-US"/>
        </w:rPr>
      </w:pPr>
      <w:r w:rsidRPr="00F102E4">
        <w:rPr>
          <w:sz w:val="24"/>
          <w:szCs w:val="24"/>
          <w:lang w:val="en-US"/>
        </w:rPr>
        <w:t>Thales Alenia Space Italia (TAS</w:t>
      </w:r>
      <w:r w:rsidR="00467362">
        <w:rPr>
          <w:sz w:val="24"/>
          <w:szCs w:val="24"/>
          <w:lang w:val="en-US"/>
        </w:rPr>
        <w:t>-</w:t>
      </w:r>
      <w:r w:rsidRPr="00F102E4">
        <w:rPr>
          <w:sz w:val="24"/>
          <w:szCs w:val="24"/>
          <w:lang w:val="en-US"/>
        </w:rPr>
        <w:t>I</w:t>
      </w:r>
      <w:r w:rsidR="00467362">
        <w:rPr>
          <w:sz w:val="24"/>
          <w:szCs w:val="24"/>
          <w:lang w:val="en-US"/>
        </w:rPr>
        <w:t>tal</w:t>
      </w:r>
      <w:r w:rsidR="00492745">
        <w:rPr>
          <w:sz w:val="24"/>
          <w:szCs w:val="24"/>
          <w:lang w:val="en-US"/>
        </w:rPr>
        <w:t>ia</w:t>
      </w:r>
      <w:r w:rsidRPr="00F102E4">
        <w:rPr>
          <w:sz w:val="24"/>
          <w:szCs w:val="24"/>
          <w:lang w:val="en-US"/>
        </w:rPr>
        <w:t>) identified as Prime Contractor for</w:t>
      </w:r>
      <w:r w:rsidR="000774F6">
        <w:rPr>
          <w:sz w:val="24"/>
          <w:szCs w:val="24"/>
          <w:lang w:val="en-US"/>
        </w:rPr>
        <w:t xml:space="preserve"> the</w:t>
      </w:r>
      <w:r w:rsidRPr="00F102E4">
        <w:rPr>
          <w:sz w:val="24"/>
          <w:szCs w:val="24"/>
          <w:lang w:val="en-US"/>
        </w:rPr>
        <w:t xml:space="preserve"> </w:t>
      </w:r>
      <w:r w:rsidR="00905B8F">
        <w:rPr>
          <w:sz w:val="24"/>
          <w:szCs w:val="24"/>
          <w:lang w:val="en-US"/>
        </w:rPr>
        <w:t>International Ha</w:t>
      </w:r>
      <w:r w:rsidR="000A7248">
        <w:rPr>
          <w:sz w:val="24"/>
          <w:szCs w:val="24"/>
          <w:lang w:val="en-US"/>
        </w:rPr>
        <w:t>bitat</w:t>
      </w:r>
      <w:r w:rsidRPr="00F102E4">
        <w:rPr>
          <w:sz w:val="24"/>
          <w:szCs w:val="24"/>
          <w:lang w:val="en-US"/>
        </w:rPr>
        <w:t xml:space="preserve"> </w:t>
      </w:r>
      <w:r w:rsidR="000774F6">
        <w:rPr>
          <w:sz w:val="24"/>
          <w:szCs w:val="24"/>
          <w:lang w:val="en-US"/>
        </w:rPr>
        <w:t xml:space="preserve">(I-HAB) </w:t>
      </w:r>
      <w:r w:rsidRPr="00F102E4">
        <w:rPr>
          <w:sz w:val="24"/>
          <w:szCs w:val="24"/>
          <w:lang w:val="en-US"/>
        </w:rPr>
        <w:t>Module</w:t>
      </w:r>
      <w:r w:rsidR="000A7248">
        <w:rPr>
          <w:sz w:val="24"/>
          <w:szCs w:val="24"/>
          <w:lang w:val="en-US"/>
        </w:rPr>
        <w:t>,</w:t>
      </w:r>
      <w:r w:rsidR="000774F6">
        <w:rPr>
          <w:sz w:val="24"/>
          <w:szCs w:val="24"/>
          <w:lang w:val="en-US"/>
        </w:rPr>
        <w:t xml:space="preserve"> procurement</w:t>
      </w:r>
      <w:r w:rsidRPr="00F102E4">
        <w:rPr>
          <w:sz w:val="24"/>
          <w:szCs w:val="24"/>
          <w:lang w:val="en-US"/>
        </w:rPr>
        <w:t xml:space="preserve">  convenes the</w:t>
      </w:r>
    </w:p>
    <w:p w:rsidR="00981916" w:rsidRPr="00CA5EE5" w:rsidRDefault="00F102E4" w:rsidP="00981916">
      <w:pPr>
        <w:jc w:val="center"/>
        <w:rPr>
          <w:rStyle w:val="Hyperlink"/>
          <w:b/>
          <w:color w:val="auto"/>
          <w:sz w:val="32"/>
          <w:szCs w:val="32"/>
          <w:u w:val="none"/>
        </w:rPr>
      </w:pPr>
      <w:r w:rsidRPr="00CA5EE5">
        <w:rPr>
          <w:rStyle w:val="Hyperlink"/>
          <w:b/>
          <w:color w:val="auto"/>
          <w:sz w:val="32"/>
          <w:szCs w:val="32"/>
          <w:u w:val="none"/>
        </w:rPr>
        <w:t>I-HAB</w:t>
      </w:r>
      <w:r w:rsidR="00981916" w:rsidRPr="00CA5EE5">
        <w:rPr>
          <w:rStyle w:val="Hyperlink"/>
          <w:b/>
          <w:color w:val="auto"/>
          <w:sz w:val="32"/>
          <w:szCs w:val="32"/>
          <w:u w:val="none"/>
        </w:rPr>
        <w:t xml:space="preserve"> </w:t>
      </w:r>
      <w:r w:rsidRPr="00CA5EE5">
        <w:rPr>
          <w:rStyle w:val="Hyperlink"/>
          <w:b/>
          <w:color w:val="auto"/>
          <w:sz w:val="32"/>
          <w:szCs w:val="32"/>
          <w:u w:val="none"/>
        </w:rPr>
        <w:t>Industry Day</w:t>
      </w:r>
    </w:p>
    <w:p w:rsidR="00F102E4" w:rsidRPr="00F102E4" w:rsidRDefault="00F102E4" w:rsidP="009B4251">
      <w:pPr>
        <w:jc w:val="both"/>
        <w:rPr>
          <w:sz w:val="24"/>
          <w:szCs w:val="24"/>
        </w:rPr>
      </w:pPr>
      <w:r w:rsidRPr="00F102E4">
        <w:rPr>
          <w:sz w:val="24"/>
          <w:szCs w:val="24"/>
          <w:lang w:val="en-US"/>
        </w:rPr>
        <w:t>to present to the Industrial Community the procurement activities</w:t>
      </w:r>
      <w:r w:rsidR="000774F6">
        <w:rPr>
          <w:sz w:val="24"/>
          <w:szCs w:val="24"/>
          <w:lang w:val="en-US"/>
        </w:rPr>
        <w:t xml:space="preserve"> anticipated</w:t>
      </w:r>
      <w:r w:rsidRPr="00F102E4">
        <w:rPr>
          <w:sz w:val="24"/>
          <w:szCs w:val="24"/>
          <w:lang w:val="en-US"/>
        </w:rPr>
        <w:t xml:space="preserve"> as part of the </w:t>
      </w:r>
      <w:r w:rsidR="000774F6">
        <w:rPr>
          <w:sz w:val="24"/>
          <w:szCs w:val="24"/>
          <w:lang w:val="en-US"/>
        </w:rPr>
        <w:t xml:space="preserve">future </w:t>
      </w:r>
      <w:r w:rsidR="000A7248">
        <w:rPr>
          <w:sz w:val="24"/>
          <w:szCs w:val="24"/>
          <w:lang w:val="en-US"/>
        </w:rPr>
        <w:t xml:space="preserve">Implementation </w:t>
      </w:r>
      <w:r w:rsidR="000774F6">
        <w:rPr>
          <w:sz w:val="24"/>
          <w:szCs w:val="24"/>
          <w:lang w:val="en-US"/>
        </w:rPr>
        <w:t xml:space="preserve">phases to </w:t>
      </w:r>
      <w:r w:rsidRPr="00F102E4">
        <w:rPr>
          <w:sz w:val="24"/>
          <w:szCs w:val="24"/>
          <w:lang w:val="en-US"/>
        </w:rPr>
        <w:t xml:space="preserve">establish an industrial </w:t>
      </w:r>
      <w:r w:rsidR="000774F6" w:rsidRPr="00F102E4">
        <w:rPr>
          <w:sz w:val="24"/>
          <w:szCs w:val="24"/>
          <w:lang w:val="en-US"/>
        </w:rPr>
        <w:t>organi</w:t>
      </w:r>
      <w:r w:rsidR="000774F6">
        <w:rPr>
          <w:sz w:val="24"/>
          <w:szCs w:val="24"/>
          <w:lang w:val="en-US"/>
        </w:rPr>
        <w:t>s</w:t>
      </w:r>
      <w:r w:rsidR="000774F6" w:rsidRPr="00F102E4">
        <w:rPr>
          <w:sz w:val="24"/>
          <w:szCs w:val="24"/>
          <w:lang w:val="en-US"/>
        </w:rPr>
        <w:t xml:space="preserve">ation </w:t>
      </w:r>
      <w:r w:rsidRPr="00F102E4">
        <w:rPr>
          <w:sz w:val="24"/>
          <w:szCs w:val="24"/>
          <w:lang w:val="en-US"/>
        </w:rPr>
        <w:t>meet</w:t>
      </w:r>
      <w:r w:rsidR="000774F6">
        <w:rPr>
          <w:sz w:val="24"/>
          <w:szCs w:val="24"/>
          <w:lang w:val="en-US"/>
        </w:rPr>
        <w:t>ing</w:t>
      </w:r>
      <w:r w:rsidRPr="00F102E4">
        <w:rPr>
          <w:sz w:val="24"/>
          <w:szCs w:val="24"/>
          <w:lang w:val="en-US"/>
        </w:rPr>
        <w:t xml:space="preserve"> all programme requirements, including ESA Industrial Polic</w:t>
      </w:r>
      <w:r w:rsidR="000774F6">
        <w:rPr>
          <w:sz w:val="24"/>
          <w:szCs w:val="24"/>
          <w:lang w:val="en-US"/>
        </w:rPr>
        <w:t xml:space="preserve">y requirements </w:t>
      </w:r>
      <w:r w:rsidRPr="00F102E4">
        <w:rPr>
          <w:sz w:val="24"/>
          <w:szCs w:val="24"/>
          <w:lang w:val="en-US"/>
        </w:rPr>
        <w:t>and other procurement targets</w:t>
      </w:r>
    </w:p>
    <w:p w:rsidR="00C35968" w:rsidRPr="000A78D6" w:rsidRDefault="00C35968" w:rsidP="00C35968">
      <w:pPr>
        <w:jc w:val="both"/>
        <w:rPr>
          <w:sz w:val="24"/>
          <w:szCs w:val="24"/>
        </w:rPr>
      </w:pPr>
      <w:r w:rsidRPr="00DB1A2B">
        <w:rPr>
          <w:sz w:val="24"/>
          <w:szCs w:val="24"/>
        </w:rPr>
        <w:t xml:space="preserve">The Industry Day  </w:t>
      </w:r>
      <w:r w:rsidR="000774F6">
        <w:rPr>
          <w:sz w:val="24"/>
          <w:szCs w:val="24"/>
        </w:rPr>
        <w:t>will  take pla</w:t>
      </w:r>
      <w:r w:rsidR="00525B77">
        <w:rPr>
          <w:sz w:val="24"/>
          <w:szCs w:val="24"/>
        </w:rPr>
        <w:t>c</w:t>
      </w:r>
      <w:r w:rsidR="000774F6">
        <w:rPr>
          <w:sz w:val="24"/>
          <w:szCs w:val="24"/>
        </w:rPr>
        <w:t>e on</w:t>
      </w:r>
    </w:p>
    <w:p w:rsidR="00C35968" w:rsidRPr="00CA5EE5" w:rsidRDefault="00C35968" w:rsidP="00C35968">
      <w:pPr>
        <w:jc w:val="center"/>
        <w:rPr>
          <w:rStyle w:val="Hyperlink"/>
          <w:b/>
          <w:color w:val="auto"/>
          <w:sz w:val="32"/>
          <w:szCs w:val="32"/>
          <w:u w:val="none"/>
        </w:rPr>
      </w:pPr>
      <w:r w:rsidRPr="00CA5EE5">
        <w:rPr>
          <w:rStyle w:val="Hyperlink"/>
          <w:b/>
          <w:color w:val="auto"/>
          <w:sz w:val="32"/>
          <w:szCs w:val="32"/>
          <w:u w:val="none"/>
        </w:rPr>
        <w:t xml:space="preserve">Wednesday  20th May 2020 </w:t>
      </w:r>
      <w:r w:rsidR="00492745">
        <w:rPr>
          <w:rStyle w:val="Hyperlink"/>
          <w:b/>
          <w:color w:val="auto"/>
          <w:sz w:val="32"/>
          <w:szCs w:val="32"/>
          <w:u w:val="none"/>
        </w:rPr>
        <w:t>from</w:t>
      </w:r>
      <w:r w:rsidR="00492745" w:rsidRPr="00CA5EE5">
        <w:rPr>
          <w:rStyle w:val="Hyperlink"/>
          <w:b/>
          <w:color w:val="auto"/>
          <w:sz w:val="32"/>
          <w:szCs w:val="32"/>
          <w:u w:val="none"/>
        </w:rPr>
        <w:t xml:space="preserve"> </w:t>
      </w:r>
      <w:r w:rsidR="00F9700E">
        <w:rPr>
          <w:rStyle w:val="Hyperlink"/>
          <w:b/>
          <w:color w:val="auto"/>
          <w:sz w:val="32"/>
          <w:szCs w:val="32"/>
          <w:u w:val="none"/>
        </w:rPr>
        <w:t>10</w:t>
      </w:r>
      <w:r w:rsidRPr="00CA5EE5">
        <w:rPr>
          <w:rStyle w:val="Hyperlink"/>
          <w:b/>
          <w:color w:val="auto"/>
          <w:sz w:val="32"/>
          <w:szCs w:val="32"/>
          <w:u w:val="none"/>
        </w:rPr>
        <w:t>:</w:t>
      </w:r>
      <w:r w:rsidR="00F9700E">
        <w:rPr>
          <w:rStyle w:val="Hyperlink"/>
          <w:b/>
          <w:color w:val="auto"/>
          <w:sz w:val="32"/>
          <w:szCs w:val="32"/>
          <w:u w:val="none"/>
        </w:rPr>
        <w:t>0</w:t>
      </w:r>
      <w:r w:rsidRPr="00CA5EE5">
        <w:rPr>
          <w:rStyle w:val="Hyperlink"/>
          <w:b/>
          <w:color w:val="auto"/>
          <w:sz w:val="32"/>
          <w:szCs w:val="32"/>
          <w:u w:val="none"/>
        </w:rPr>
        <w:t>0 CET</w:t>
      </w:r>
    </w:p>
    <w:p w:rsidR="000774F6" w:rsidRPr="000774F6" w:rsidRDefault="000774F6" w:rsidP="001444DC">
      <w:pPr>
        <w:jc w:val="both"/>
        <w:rPr>
          <w:sz w:val="24"/>
          <w:szCs w:val="24"/>
        </w:rPr>
      </w:pPr>
      <w:r w:rsidRPr="000774F6">
        <w:rPr>
          <w:sz w:val="24"/>
          <w:szCs w:val="24"/>
        </w:rPr>
        <w:t>It will consist of a</w:t>
      </w:r>
      <w:r w:rsidR="00434114">
        <w:rPr>
          <w:sz w:val="24"/>
          <w:szCs w:val="24"/>
        </w:rPr>
        <w:t xml:space="preserve">n </w:t>
      </w:r>
      <w:r w:rsidR="00905B8F">
        <w:rPr>
          <w:sz w:val="24"/>
          <w:szCs w:val="24"/>
        </w:rPr>
        <w:t>i</w:t>
      </w:r>
      <w:r w:rsidR="00434114">
        <w:rPr>
          <w:sz w:val="24"/>
          <w:szCs w:val="24"/>
        </w:rPr>
        <w:t>nternet live streaming presentation</w:t>
      </w:r>
      <w:r w:rsidR="000A7248" w:rsidRPr="000774F6">
        <w:rPr>
          <w:sz w:val="24"/>
          <w:szCs w:val="24"/>
        </w:rPr>
        <w:t xml:space="preserve"> </w:t>
      </w:r>
      <w:r w:rsidRPr="000774F6">
        <w:rPr>
          <w:sz w:val="24"/>
          <w:szCs w:val="24"/>
        </w:rPr>
        <w:t xml:space="preserve">of the mission </w:t>
      </w:r>
      <w:r w:rsidR="00434114">
        <w:rPr>
          <w:sz w:val="24"/>
          <w:szCs w:val="24"/>
        </w:rPr>
        <w:t xml:space="preserve">in the morning </w:t>
      </w:r>
      <w:r w:rsidRPr="000774F6">
        <w:rPr>
          <w:sz w:val="24"/>
          <w:szCs w:val="24"/>
        </w:rPr>
        <w:t>followed by a series of bi-lateral meetings hosted via WebEx between Thales</w:t>
      </w:r>
      <w:r w:rsidR="00434114">
        <w:rPr>
          <w:sz w:val="24"/>
          <w:szCs w:val="24"/>
        </w:rPr>
        <w:t xml:space="preserve"> Alenia Space</w:t>
      </w:r>
      <w:r w:rsidRPr="000774F6">
        <w:rPr>
          <w:sz w:val="24"/>
          <w:szCs w:val="24"/>
        </w:rPr>
        <w:t xml:space="preserve"> and interested potential subcontractors. </w:t>
      </w:r>
    </w:p>
    <w:p w:rsidR="000774F6" w:rsidRPr="000774F6" w:rsidRDefault="000774F6" w:rsidP="001444DC">
      <w:pPr>
        <w:jc w:val="both"/>
        <w:rPr>
          <w:sz w:val="24"/>
          <w:szCs w:val="24"/>
        </w:rPr>
      </w:pPr>
      <w:r w:rsidRPr="000774F6">
        <w:rPr>
          <w:sz w:val="24"/>
          <w:szCs w:val="24"/>
        </w:rPr>
        <w:t>The bi-lateral meetings will be conducted in the afternoon at pre-booked timeslots via WebEx or equivalent once interest in the Industry Day has been registered.</w:t>
      </w:r>
    </w:p>
    <w:p w:rsidR="00434114" w:rsidRPr="00492745" w:rsidRDefault="00434114" w:rsidP="00434114">
      <w:pPr>
        <w:jc w:val="both"/>
        <w:rPr>
          <w:rFonts w:cstheme="minorHAnsi"/>
          <w:sz w:val="24"/>
          <w:szCs w:val="24"/>
        </w:rPr>
      </w:pPr>
      <w:r>
        <w:rPr>
          <w:sz w:val="24"/>
          <w:szCs w:val="24"/>
        </w:rPr>
        <w:t xml:space="preserve">Registration for the Industry Day </w:t>
      </w:r>
    </w:p>
    <w:p w:rsidR="00434114" w:rsidRPr="00492745" w:rsidRDefault="00977D27" w:rsidP="00434114">
      <w:pPr>
        <w:jc w:val="center"/>
        <w:rPr>
          <w:rFonts w:cstheme="minorHAnsi"/>
          <w:sz w:val="24"/>
          <w:szCs w:val="24"/>
        </w:rPr>
      </w:pPr>
      <w:hyperlink r:id="rId8" w:history="1">
        <w:r w:rsidR="00434114" w:rsidRPr="00CA5EE5">
          <w:rPr>
            <w:rStyle w:val="Hyperlink"/>
            <w:rFonts w:cstheme="minorHAnsi"/>
            <w:color w:val="0066CC"/>
            <w:sz w:val="24"/>
            <w:szCs w:val="24"/>
          </w:rPr>
          <w:t>https://www.cosmos.esa.int/web/i-hab-industry-day/home</w:t>
        </w:r>
      </w:hyperlink>
    </w:p>
    <w:p w:rsidR="00434114" w:rsidRPr="007444FD" w:rsidRDefault="00434114" w:rsidP="00434114">
      <w:pPr>
        <w:jc w:val="both"/>
        <w:rPr>
          <w:sz w:val="24"/>
          <w:szCs w:val="24"/>
        </w:rPr>
      </w:pPr>
      <w:r>
        <w:rPr>
          <w:sz w:val="24"/>
          <w:szCs w:val="24"/>
        </w:rPr>
        <w:t>Completion</w:t>
      </w:r>
      <w:r w:rsidRPr="000774F6">
        <w:rPr>
          <w:sz w:val="24"/>
          <w:szCs w:val="24"/>
        </w:rPr>
        <w:t xml:space="preserve"> of the Expression of Interest (EOI) Form</w:t>
      </w:r>
      <w:r w:rsidR="00905B8F">
        <w:rPr>
          <w:sz w:val="24"/>
          <w:szCs w:val="24"/>
        </w:rPr>
        <w:t xml:space="preserve"> (</w:t>
      </w:r>
      <w:r w:rsidR="00C73C18">
        <w:rPr>
          <w:sz w:val="24"/>
          <w:szCs w:val="24"/>
        </w:rPr>
        <w:t>attached</w:t>
      </w:r>
      <w:r w:rsidR="00905B8F">
        <w:rPr>
          <w:sz w:val="24"/>
          <w:szCs w:val="24"/>
        </w:rPr>
        <w:t>)</w:t>
      </w:r>
      <w:r w:rsidRPr="000774F6">
        <w:rPr>
          <w:sz w:val="24"/>
          <w:szCs w:val="24"/>
        </w:rPr>
        <w:t xml:space="preserve"> </w:t>
      </w:r>
      <w:r>
        <w:rPr>
          <w:sz w:val="24"/>
          <w:szCs w:val="24"/>
        </w:rPr>
        <w:t xml:space="preserve">and general enquires for the Industry Day </w:t>
      </w:r>
      <w:r w:rsidRPr="000774F6">
        <w:rPr>
          <w:sz w:val="24"/>
          <w:szCs w:val="24"/>
        </w:rPr>
        <w:t xml:space="preserve">can be made </w:t>
      </w:r>
      <w:r>
        <w:rPr>
          <w:sz w:val="24"/>
          <w:szCs w:val="24"/>
        </w:rPr>
        <w:t xml:space="preserve">by </w:t>
      </w:r>
      <w:r w:rsidR="00905B8F">
        <w:rPr>
          <w:sz w:val="24"/>
          <w:szCs w:val="24"/>
        </w:rPr>
        <w:t>e</w:t>
      </w:r>
      <w:r>
        <w:rPr>
          <w:sz w:val="24"/>
          <w:szCs w:val="24"/>
        </w:rPr>
        <w:t>mail through</w:t>
      </w:r>
      <w:r w:rsidRPr="000774F6">
        <w:rPr>
          <w:sz w:val="24"/>
          <w:szCs w:val="24"/>
        </w:rPr>
        <w:t xml:space="preserve"> the following </w:t>
      </w:r>
      <w:r w:rsidRPr="007444FD">
        <w:rPr>
          <w:sz w:val="24"/>
          <w:szCs w:val="24"/>
        </w:rPr>
        <w:t>mail address:</w:t>
      </w:r>
    </w:p>
    <w:p w:rsidR="00434114" w:rsidRDefault="00977D27" w:rsidP="00434114">
      <w:pPr>
        <w:jc w:val="center"/>
        <w:rPr>
          <w:sz w:val="24"/>
          <w:szCs w:val="24"/>
        </w:rPr>
      </w:pPr>
      <w:hyperlink r:id="rId9" w:history="1">
        <w:r w:rsidR="00434114" w:rsidRPr="00A74A15">
          <w:rPr>
            <w:rStyle w:val="Hyperlink"/>
            <w:sz w:val="24"/>
            <w:szCs w:val="24"/>
          </w:rPr>
          <w:t>IHAB.IndustryDay@thalesaleniaspace.com</w:t>
        </w:r>
      </w:hyperlink>
    </w:p>
    <w:p w:rsidR="00F40653" w:rsidRDefault="00F40653" w:rsidP="00434114">
      <w:pPr>
        <w:rPr>
          <w:sz w:val="24"/>
          <w:szCs w:val="24"/>
        </w:rPr>
      </w:pPr>
    </w:p>
    <w:p w:rsidR="00434114" w:rsidRDefault="00434114" w:rsidP="00434114">
      <w:pPr>
        <w:rPr>
          <w:sz w:val="24"/>
          <w:szCs w:val="24"/>
        </w:rPr>
      </w:pPr>
      <w:r>
        <w:rPr>
          <w:sz w:val="24"/>
          <w:szCs w:val="24"/>
        </w:rPr>
        <w:t xml:space="preserve">Please note that the registration and completion of the EOI is </w:t>
      </w:r>
      <w:r w:rsidRPr="00E87A00">
        <w:rPr>
          <w:b/>
          <w:sz w:val="24"/>
          <w:szCs w:val="24"/>
        </w:rPr>
        <w:t>MANDATORY</w:t>
      </w:r>
      <w:r>
        <w:rPr>
          <w:sz w:val="24"/>
          <w:szCs w:val="24"/>
        </w:rPr>
        <w:t xml:space="preserve"> for attending the event.</w:t>
      </w:r>
    </w:p>
    <w:p w:rsidR="00525B77" w:rsidRPr="00525B77" w:rsidRDefault="00434114" w:rsidP="00525B77">
      <w:pPr>
        <w:jc w:val="both"/>
        <w:rPr>
          <w:sz w:val="24"/>
          <w:szCs w:val="24"/>
        </w:rPr>
      </w:pPr>
      <w:r>
        <w:rPr>
          <w:sz w:val="24"/>
          <w:szCs w:val="24"/>
        </w:rPr>
        <w:t xml:space="preserve">Should </w:t>
      </w:r>
      <w:r w:rsidR="00525B77" w:rsidRPr="00525B77">
        <w:rPr>
          <w:sz w:val="24"/>
          <w:szCs w:val="24"/>
        </w:rPr>
        <w:t>an economic operator within the ESA Members, Cooperating and Associated States wish to:</w:t>
      </w:r>
    </w:p>
    <w:p w:rsidR="00525B77" w:rsidRDefault="00525B77" w:rsidP="001444DC">
      <w:pPr>
        <w:pStyle w:val="ListParagraph"/>
        <w:numPr>
          <w:ilvl w:val="0"/>
          <w:numId w:val="26"/>
        </w:numPr>
        <w:jc w:val="both"/>
        <w:rPr>
          <w:sz w:val="24"/>
          <w:szCs w:val="24"/>
        </w:rPr>
      </w:pPr>
      <w:r w:rsidRPr="00CA5EE5">
        <w:rPr>
          <w:b/>
          <w:sz w:val="24"/>
          <w:szCs w:val="24"/>
        </w:rPr>
        <w:t>follow the event</w:t>
      </w:r>
      <w:r w:rsidRPr="001444DC">
        <w:rPr>
          <w:sz w:val="24"/>
          <w:szCs w:val="24"/>
        </w:rPr>
        <w:t>, it should contact TAS-</w:t>
      </w:r>
      <w:r w:rsidR="00492745" w:rsidRPr="001444DC">
        <w:rPr>
          <w:sz w:val="24"/>
          <w:szCs w:val="24"/>
        </w:rPr>
        <w:t>Ital</w:t>
      </w:r>
      <w:r w:rsidR="00492745">
        <w:rPr>
          <w:sz w:val="24"/>
          <w:szCs w:val="24"/>
        </w:rPr>
        <w:t>ia</w:t>
      </w:r>
      <w:r w:rsidR="00492745" w:rsidRPr="001444DC">
        <w:rPr>
          <w:sz w:val="24"/>
          <w:szCs w:val="24"/>
        </w:rPr>
        <w:t xml:space="preserve"> </w:t>
      </w:r>
      <w:r w:rsidRPr="001444DC">
        <w:rPr>
          <w:sz w:val="24"/>
          <w:szCs w:val="24"/>
        </w:rPr>
        <w:t xml:space="preserve">in the first instance  at the contact e-mail address identified in this document within 10 working days of this publication by populating and submitting the </w:t>
      </w:r>
      <w:r w:rsidR="00434114">
        <w:rPr>
          <w:sz w:val="24"/>
          <w:szCs w:val="24"/>
        </w:rPr>
        <w:t xml:space="preserve">on-line </w:t>
      </w:r>
      <w:r w:rsidRPr="001444DC">
        <w:rPr>
          <w:sz w:val="24"/>
          <w:szCs w:val="24"/>
        </w:rPr>
        <w:t xml:space="preserve">Registration form and emailing the completed Expression of Interest (EOI) to the address above (with ESA in copy-see section </w:t>
      </w:r>
      <w:r w:rsidR="00492745">
        <w:rPr>
          <w:sz w:val="24"/>
          <w:szCs w:val="24"/>
        </w:rPr>
        <w:t>4</w:t>
      </w:r>
      <w:r w:rsidR="00492745" w:rsidRPr="001444DC">
        <w:rPr>
          <w:sz w:val="24"/>
          <w:szCs w:val="24"/>
        </w:rPr>
        <w:t xml:space="preserve"> </w:t>
      </w:r>
      <w:r w:rsidRPr="001444DC">
        <w:rPr>
          <w:sz w:val="24"/>
          <w:szCs w:val="24"/>
        </w:rPr>
        <w:t xml:space="preserve">below) </w:t>
      </w:r>
    </w:p>
    <w:p w:rsidR="00434114" w:rsidRPr="00FD507B" w:rsidRDefault="00434114" w:rsidP="00CA5EE5">
      <w:pPr>
        <w:pStyle w:val="ListParagraph"/>
        <w:jc w:val="both"/>
        <w:rPr>
          <w:sz w:val="24"/>
          <w:szCs w:val="24"/>
        </w:rPr>
      </w:pPr>
    </w:p>
    <w:p w:rsidR="00525B77" w:rsidRPr="001444DC" w:rsidRDefault="00525B77" w:rsidP="001444DC">
      <w:pPr>
        <w:pStyle w:val="ListParagraph"/>
        <w:numPr>
          <w:ilvl w:val="0"/>
          <w:numId w:val="26"/>
        </w:numPr>
        <w:jc w:val="both"/>
        <w:rPr>
          <w:sz w:val="24"/>
          <w:szCs w:val="24"/>
        </w:rPr>
      </w:pPr>
      <w:r w:rsidRPr="00CA5EE5">
        <w:rPr>
          <w:b/>
          <w:sz w:val="24"/>
          <w:szCs w:val="24"/>
        </w:rPr>
        <w:t>be considered for a bi-lateral meeting</w:t>
      </w:r>
      <w:r w:rsidRPr="001444DC">
        <w:rPr>
          <w:sz w:val="24"/>
          <w:szCs w:val="24"/>
        </w:rPr>
        <w:t xml:space="preserve"> on any of the equipment or items in the table above listed, please  specify  in the EOI the  motivation for your request .</w:t>
      </w:r>
    </w:p>
    <w:p w:rsidR="000A78D6" w:rsidRDefault="00525B77" w:rsidP="00CA5EE5">
      <w:pPr>
        <w:jc w:val="both"/>
        <w:rPr>
          <w:sz w:val="24"/>
          <w:szCs w:val="24"/>
        </w:rPr>
      </w:pPr>
      <w:r w:rsidRPr="00525B77">
        <w:rPr>
          <w:sz w:val="24"/>
          <w:szCs w:val="24"/>
        </w:rPr>
        <w:t xml:space="preserve">TAS-Italy will evaluate all requests and, should there be no time to accommodate all requests, will give priority to the not yet known economic operators and the Small and Medium Enterprises. </w:t>
      </w:r>
    </w:p>
    <w:p w:rsidR="00905B8F" w:rsidRDefault="00905B8F" w:rsidP="00905B8F">
      <w:pPr>
        <w:rPr>
          <w:sz w:val="24"/>
          <w:szCs w:val="24"/>
        </w:rPr>
      </w:pPr>
      <w:r>
        <w:rPr>
          <w:sz w:val="24"/>
          <w:szCs w:val="24"/>
        </w:rPr>
        <w:t>The preliminary Agenda for the Industry Day is also provided on the website.</w:t>
      </w:r>
    </w:p>
    <w:p w:rsidR="00434114" w:rsidRDefault="00434114" w:rsidP="00CA5EE5">
      <w:pPr>
        <w:jc w:val="both"/>
        <w:rPr>
          <w:sz w:val="24"/>
          <w:szCs w:val="24"/>
        </w:rPr>
      </w:pPr>
    </w:p>
    <w:p w:rsidR="00AE034D" w:rsidRDefault="00AD013F" w:rsidP="00DB1A2B">
      <w:pPr>
        <w:pStyle w:val="ListParagraph"/>
        <w:numPr>
          <w:ilvl w:val="0"/>
          <w:numId w:val="5"/>
        </w:numPr>
        <w:jc w:val="both"/>
        <w:rPr>
          <w:b/>
          <w:sz w:val="24"/>
          <w:szCs w:val="24"/>
          <w:lang w:val="en-US"/>
        </w:rPr>
      </w:pPr>
      <w:r>
        <w:rPr>
          <w:b/>
          <w:sz w:val="24"/>
          <w:szCs w:val="24"/>
          <w:lang w:val="en-US"/>
        </w:rPr>
        <w:t xml:space="preserve">PROCUREMENT </w:t>
      </w:r>
      <w:r w:rsidR="00AE034D" w:rsidRPr="00DB1A2B">
        <w:rPr>
          <w:b/>
          <w:sz w:val="24"/>
          <w:szCs w:val="24"/>
          <w:lang w:val="en-US"/>
        </w:rPr>
        <w:t xml:space="preserve">PROCESS </w:t>
      </w:r>
    </w:p>
    <w:p w:rsidR="007444FD" w:rsidRPr="00467362" w:rsidRDefault="007444FD" w:rsidP="007444FD">
      <w:pPr>
        <w:jc w:val="both"/>
        <w:rPr>
          <w:sz w:val="24"/>
          <w:szCs w:val="24"/>
        </w:rPr>
      </w:pPr>
      <w:r w:rsidRPr="00467362">
        <w:rPr>
          <w:sz w:val="24"/>
          <w:szCs w:val="24"/>
        </w:rPr>
        <w:t xml:space="preserve">As Prime Contractor for the implementation phase of </w:t>
      </w:r>
      <w:r>
        <w:rPr>
          <w:sz w:val="24"/>
          <w:szCs w:val="24"/>
        </w:rPr>
        <w:t>I-HAB</w:t>
      </w:r>
      <w:r w:rsidRPr="00467362">
        <w:rPr>
          <w:sz w:val="24"/>
          <w:szCs w:val="24"/>
        </w:rPr>
        <w:t xml:space="preserve">, </w:t>
      </w:r>
      <w:r w:rsidR="00492745" w:rsidRPr="0093760E">
        <w:rPr>
          <w:sz w:val="24"/>
          <w:szCs w:val="24"/>
        </w:rPr>
        <w:t>once authorised to proceed with the full Implementation Phase by the Agency</w:t>
      </w:r>
      <w:r w:rsidR="00492745" w:rsidRPr="00467362">
        <w:rPr>
          <w:sz w:val="24"/>
          <w:szCs w:val="24"/>
        </w:rPr>
        <w:t xml:space="preserve"> </w:t>
      </w:r>
      <w:r w:rsidRPr="00467362">
        <w:rPr>
          <w:sz w:val="24"/>
          <w:szCs w:val="24"/>
        </w:rPr>
        <w:t xml:space="preserve">TAS-Italy is planning to release several Invitation To Tender (ITT) to complete its Industrial Consortium constitution </w:t>
      </w:r>
      <w:r w:rsidR="00FD507B" w:rsidRPr="00FD507B">
        <w:rPr>
          <w:sz w:val="24"/>
          <w:szCs w:val="24"/>
        </w:rPr>
        <w:t>on EMITS – EXTERNAL ENTITIES -</w:t>
      </w:r>
      <w:r w:rsidR="00FD507B">
        <w:rPr>
          <w:sz w:val="24"/>
          <w:szCs w:val="24"/>
        </w:rPr>
        <w:t xml:space="preserve"> Thales Alenia Space Italia SPA</w:t>
      </w:r>
      <w:r w:rsidRPr="00467362">
        <w:rPr>
          <w:sz w:val="24"/>
          <w:szCs w:val="24"/>
        </w:rPr>
        <w:t>:</w:t>
      </w:r>
    </w:p>
    <w:p w:rsidR="007444FD" w:rsidRDefault="007444FD" w:rsidP="007444FD">
      <w:pPr>
        <w:jc w:val="both"/>
        <w:rPr>
          <w:noProof/>
          <w:sz w:val="24"/>
          <w:szCs w:val="24"/>
          <w:lang w:val="en-US"/>
        </w:rPr>
      </w:pPr>
      <w:r w:rsidRPr="00467362">
        <w:rPr>
          <w:sz w:val="24"/>
          <w:szCs w:val="24"/>
        </w:rPr>
        <w:t xml:space="preserve">• EMITS </w:t>
      </w:r>
      <w:r w:rsidRPr="00467362">
        <w:rPr>
          <w:sz w:val="24"/>
          <w:szCs w:val="24"/>
        </w:rPr>
        <w:sym w:font="Wingdings" w:char="F0E0"/>
      </w:r>
      <w:r>
        <w:rPr>
          <w:noProof/>
          <w:sz w:val="24"/>
          <w:szCs w:val="24"/>
          <w:lang w:val="en-US"/>
        </w:rPr>
        <w:t xml:space="preserve">       ENTITIES</w:t>
      </w:r>
    </w:p>
    <w:p w:rsidR="007444FD" w:rsidRDefault="007444FD" w:rsidP="007444FD">
      <w:pPr>
        <w:jc w:val="both"/>
        <w:rPr>
          <w:noProof/>
          <w:sz w:val="24"/>
          <w:szCs w:val="24"/>
          <w:lang w:val="en-US"/>
        </w:rPr>
      </w:pPr>
      <w:r>
        <w:rPr>
          <w:noProof/>
          <w:sz w:val="24"/>
          <w:szCs w:val="24"/>
          <w:lang w:val="en-US"/>
        </w:rPr>
        <w:tab/>
      </w:r>
      <w:r>
        <w:rPr>
          <w:noProof/>
          <w:lang w:eastAsia="en-GB"/>
        </w:rPr>
        <w:drawing>
          <wp:inline distT="0" distB="0" distL="0" distR="0" wp14:anchorId="37E8280D" wp14:editId="60555E9A">
            <wp:extent cx="276225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2250" cy="428625"/>
                    </a:xfrm>
                    <a:prstGeom prst="rect">
                      <a:avLst/>
                    </a:prstGeom>
                  </pic:spPr>
                </pic:pic>
              </a:graphicData>
            </a:graphic>
          </wp:inline>
        </w:drawing>
      </w:r>
    </w:p>
    <w:p w:rsidR="007444FD" w:rsidRDefault="007444FD" w:rsidP="007444FD">
      <w:pPr>
        <w:jc w:val="center"/>
        <w:rPr>
          <w:sz w:val="24"/>
          <w:szCs w:val="24"/>
        </w:rPr>
      </w:pPr>
      <w:r>
        <w:rPr>
          <w:noProof/>
          <w:sz w:val="24"/>
          <w:szCs w:val="24"/>
          <w:lang w:eastAsia="en-GB"/>
        </w:rPr>
        <w:drawing>
          <wp:inline distT="0" distB="0" distL="0" distR="0" wp14:anchorId="0E8A5D96" wp14:editId="6D3503B4">
            <wp:extent cx="39528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333375"/>
                    </a:xfrm>
                    <a:prstGeom prst="rect">
                      <a:avLst/>
                    </a:prstGeom>
                    <a:noFill/>
                    <a:ln>
                      <a:noFill/>
                    </a:ln>
                  </pic:spPr>
                </pic:pic>
              </a:graphicData>
            </a:graphic>
          </wp:inline>
        </w:drawing>
      </w:r>
    </w:p>
    <w:p w:rsidR="007444FD" w:rsidRDefault="007444FD" w:rsidP="007444FD">
      <w:pPr>
        <w:jc w:val="both"/>
        <w:rPr>
          <w:sz w:val="24"/>
          <w:szCs w:val="24"/>
        </w:rPr>
      </w:pPr>
      <w:r w:rsidRPr="00282972">
        <w:rPr>
          <w:sz w:val="24"/>
          <w:szCs w:val="24"/>
        </w:rPr>
        <w:t>Intended Invitations to Tender (IITT) and Invitation to Tender (ITT) packages will be published by TAS-Ital</w:t>
      </w:r>
      <w:r w:rsidR="00492745">
        <w:rPr>
          <w:sz w:val="24"/>
          <w:szCs w:val="24"/>
        </w:rPr>
        <w:t>ia</w:t>
      </w:r>
      <w:r w:rsidR="00FD507B" w:rsidRPr="00FD507B">
        <w:t xml:space="preserve"> </w:t>
      </w:r>
      <w:r w:rsidR="00FD507B" w:rsidRPr="00FD507B">
        <w:rPr>
          <w:sz w:val="24"/>
          <w:szCs w:val="24"/>
        </w:rPr>
        <w:t>on EMITS</w:t>
      </w:r>
      <w:r w:rsidRPr="00282972">
        <w:rPr>
          <w:sz w:val="24"/>
          <w:szCs w:val="24"/>
        </w:rPr>
        <w:t xml:space="preserve"> </w:t>
      </w:r>
      <w:r w:rsidR="00C53623" w:rsidRPr="00FE1C29">
        <w:rPr>
          <w:sz w:val="24"/>
          <w:szCs w:val="24"/>
          <w:u w:val="single"/>
        </w:rPr>
        <w:t>by copying and pasting</w:t>
      </w:r>
      <w:r w:rsidR="00C53623" w:rsidRPr="00282972">
        <w:rPr>
          <w:sz w:val="24"/>
          <w:szCs w:val="24"/>
        </w:rPr>
        <w:t xml:space="preserve"> </w:t>
      </w:r>
      <w:r w:rsidRPr="00282972">
        <w:rPr>
          <w:sz w:val="24"/>
          <w:szCs w:val="24"/>
        </w:rPr>
        <w:t>this link:</w:t>
      </w:r>
    </w:p>
    <w:p w:rsidR="007444FD" w:rsidRDefault="00977D27" w:rsidP="007444FD">
      <w:pPr>
        <w:jc w:val="center"/>
        <w:rPr>
          <w:sz w:val="24"/>
          <w:szCs w:val="24"/>
        </w:rPr>
      </w:pPr>
      <w:hyperlink r:id="rId12" w:history="1">
        <w:r w:rsidR="00C53623" w:rsidRPr="00ED0609">
          <w:rPr>
            <w:rStyle w:val="Hyperlink"/>
            <w:sz w:val="24"/>
            <w:szCs w:val="24"/>
          </w:rPr>
          <w:t>http://emits.sso.esa.int/emits/owa/emits.main?p_entity=ALENIA&amp;ul</w:t>
        </w:r>
      </w:hyperlink>
      <w:r w:rsidR="00C53623">
        <w:rPr>
          <w:rStyle w:val="Hyperlink"/>
          <w:sz w:val="24"/>
          <w:szCs w:val="24"/>
        </w:rPr>
        <w:t>=</w:t>
      </w:r>
    </w:p>
    <w:p w:rsidR="007444FD" w:rsidRDefault="007444FD" w:rsidP="007444FD">
      <w:pPr>
        <w:jc w:val="both"/>
        <w:rPr>
          <w:sz w:val="24"/>
          <w:szCs w:val="24"/>
        </w:rPr>
      </w:pPr>
      <w:r w:rsidRPr="00282972">
        <w:rPr>
          <w:sz w:val="24"/>
          <w:szCs w:val="24"/>
        </w:rPr>
        <w:t>TAS-Ital</w:t>
      </w:r>
      <w:r w:rsidR="00492745">
        <w:rPr>
          <w:sz w:val="24"/>
          <w:szCs w:val="24"/>
        </w:rPr>
        <w:t>ia</w:t>
      </w:r>
      <w:r w:rsidRPr="00282972">
        <w:rPr>
          <w:sz w:val="24"/>
          <w:szCs w:val="24"/>
        </w:rPr>
        <w:t xml:space="preserve"> </w:t>
      </w:r>
      <w:r>
        <w:rPr>
          <w:sz w:val="24"/>
          <w:szCs w:val="24"/>
        </w:rPr>
        <w:t xml:space="preserve">invites </w:t>
      </w:r>
      <w:r w:rsidRPr="00282972">
        <w:rPr>
          <w:sz w:val="24"/>
          <w:szCs w:val="24"/>
        </w:rPr>
        <w:t>all potential subcontractors interested to participate to the I-HAB mission B2</w:t>
      </w:r>
      <w:r>
        <w:rPr>
          <w:sz w:val="24"/>
          <w:szCs w:val="24"/>
        </w:rPr>
        <w:t>/</w:t>
      </w:r>
      <w:r w:rsidRPr="00282972">
        <w:rPr>
          <w:sz w:val="24"/>
          <w:szCs w:val="24"/>
        </w:rPr>
        <w:t>C/D</w:t>
      </w:r>
      <w:r>
        <w:rPr>
          <w:sz w:val="24"/>
          <w:szCs w:val="24"/>
        </w:rPr>
        <w:t>/</w:t>
      </w:r>
      <w:r w:rsidRPr="00282972">
        <w:rPr>
          <w:sz w:val="24"/>
          <w:szCs w:val="24"/>
        </w:rPr>
        <w:t>E1 implementation phase</w:t>
      </w:r>
      <w:r>
        <w:rPr>
          <w:sz w:val="24"/>
          <w:szCs w:val="24"/>
        </w:rPr>
        <w:t xml:space="preserve"> to the</w:t>
      </w:r>
      <w:r w:rsidRPr="00282972">
        <w:rPr>
          <w:sz w:val="24"/>
          <w:szCs w:val="24"/>
        </w:rPr>
        <w:t xml:space="preserve"> Industry Day.</w:t>
      </w:r>
    </w:p>
    <w:p w:rsidR="00492745" w:rsidRDefault="00492745" w:rsidP="00AE034D">
      <w:pPr>
        <w:jc w:val="both"/>
        <w:rPr>
          <w:sz w:val="24"/>
          <w:szCs w:val="24"/>
        </w:rPr>
      </w:pPr>
    </w:p>
    <w:p w:rsidR="00492745" w:rsidRDefault="00492745" w:rsidP="00AE034D">
      <w:pPr>
        <w:jc w:val="both"/>
        <w:rPr>
          <w:sz w:val="24"/>
          <w:szCs w:val="24"/>
        </w:rPr>
      </w:pPr>
    </w:p>
    <w:p w:rsidR="00492745" w:rsidRDefault="00492745" w:rsidP="00492745">
      <w:pPr>
        <w:jc w:val="both"/>
        <w:rPr>
          <w:sz w:val="24"/>
          <w:szCs w:val="24"/>
        </w:rPr>
      </w:pPr>
      <w:r w:rsidRPr="00044056">
        <w:rPr>
          <w:sz w:val="24"/>
          <w:szCs w:val="24"/>
        </w:rPr>
        <w:t>All restricted and open competition ITTs will be published on EMITS – EXTERNAL ENTITIES - Thales Alenia Space Italia SPA.</w:t>
      </w:r>
    </w:p>
    <w:p w:rsidR="00AE034D" w:rsidRDefault="00AE034D" w:rsidP="00AE034D">
      <w:pPr>
        <w:jc w:val="both"/>
        <w:rPr>
          <w:sz w:val="24"/>
          <w:szCs w:val="24"/>
        </w:rPr>
      </w:pPr>
      <w:r>
        <w:rPr>
          <w:sz w:val="24"/>
          <w:szCs w:val="24"/>
        </w:rPr>
        <w:t xml:space="preserve">The selection will be run according to ESA </w:t>
      </w:r>
      <w:r w:rsidRPr="003C6DEB">
        <w:rPr>
          <w:sz w:val="24"/>
          <w:szCs w:val="24"/>
        </w:rPr>
        <w:t>Best Practices for the selection of subcontractors by prime contractors in the frame of ESA’s major procurements, ESA/IPC(2012)65,rev.2</w:t>
      </w:r>
      <w:r>
        <w:rPr>
          <w:sz w:val="24"/>
          <w:szCs w:val="24"/>
        </w:rPr>
        <w:t>.</w:t>
      </w:r>
    </w:p>
    <w:p w:rsidR="00981916" w:rsidRPr="008331DF" w:rsidRDefault="00905B8F" w:rsidP="009B4251">
      <w:pPr>
        <w:jc w:val="both"/>
        <w:rPr>
          <w:sz w:val="24"/>
          <w:szCs w:val="24"/>
        </w:rPr>
      </w:pPr>
      <w:r w:rsidRPr="008331DF">
        <w:rPr>
          <w:sz w:val="24"/>
          <w:szCs w:val="24"/>
        </w:rPr>
        <w:t xml:space="preserve">It is foreseen to </w:t>
      </w:r>
      <w:r w:rsidR="00492745">
        <w:rPr>
          <w:sz w:val="24"/>
          <w:szCs w:val="24"/>
        </w:rPr>
        <w:t>release</w:t>
      </w:r>
      <w:r w:rsidRPr="008331DF">
        <w:rPr>
          <w:sz w:val="24"/>
          <w:szCs w:val="24"/>
        </w:rPr>
        <w:t xml:space="preserve"> t</w:t>
      </w:r>
      <w:r w:rsidR="00981916" w:rsidRPr="008331DF">
        <w:rPr>
          <w:sz w:val="24"/>
          <w:szCs w:val="24"/>
        </w:rPr>
        <w:t>he ITT</w:t>
      </w:r>
      <w:r w:rsidR="00492745">
        <w:rPr>
          <w:sz w:val="24"/>
          <w:szCs w:val="24"/>
        </w:rPr>
        <w:t>s</w:t>
      </w:r>
      <w:r w:rsidR="005732C6" w:rsidRPr="00CA5EE5">
        <w:rPr>
          <w:sz w:val="24"/>
          <w:szCs w:val="24"/>
        </w:rPr>
        <w:t>/RFP</w:t>
      </w:r>
      <w:r w:rsidR="00AE034D" w:rsidRPr="008331DF">
        <w:rPr>
          <w:sz w:val="24"/>
          <w:szCs w:val="24"/>
        </w:rPr>
        <w:t>s</w:t>
      </w:r>
      <w:r w:rsidR="00981916" w:rsidRPr="008331DF">
        <w:rPr>
          <w:sz w:val="24"/>
          <w:szCs w:val="24"/>
        </w:rPr>
        <w:t xml:space="preserve"> within </w:t>
      </w:r>
      <w:r w:rsidRPr="008331DF">
        <w:rPr>
          <w:sz w:val="24"/>
          <w:szCs w:val="24"/>
        </w:rPr>
        <w:t>2020 and</w:t>
      </w:r>
      <w:r w:rsidR="00981916" w:rsidRPr="008331DF">
        <w:rPr>
          <w:sz w:val="24"/>
          <w:szCs w:val="24"/>
        </w:rPr>
        <w:t xml:space="preserve"> to complete the selection of the </w:t>
      </w:r>
      <w:r w:rsidRPr="008331DF">
        <w:rPr>
          <w:sz w:val="24"/>
          <w:szCs w:val="24"/>
        </w:rPr>
        <w:t xml:space="preserve">I-HAB </w:t>
      </w:r>
      <w:r w:rsidR="00981916" w:rsidRPr="008331DF">
        <w:rPr>
          <w:sz w:val="24"/>
          <w:szCs w:val="24"/>
        </w:rPr>
        <w:t>industrial consortium within the next 12 months</w:t>
      </w:r>
      <w:r w:rsidRPr="008331DF">
        <w:rPr>
          <w:sz w:val="24"/>
          <w:szCs w:val="24"/>
        </w:rPr>
        <w:t>.</w:t>
      </w:r>
      <w:r w:rsidR="00981916" w:rsidRPr="008331DF">
        <w:rPr>
          <w:sz w:val="24"/>
          <w:szCs w:val="24"/>
        </w:rPr>
        <w:t xml:space="preserve"> </w:t>
      </w:r>
    </w:p>
    <w:p w:rsidR="00981916" w:rsidRPr="00250E9D" w:rsidRDefault="00981916" w:rsidP="00981916">
      <w:pPr>
        <w:jc w:val="both"/>
        <w:rPr>
          <w:sz w:val="24"/>
          <w:szCs w:val="24"/>
          <w:lang w:val="en-US"/>
        </w:rPr>
      </w:pPr>
      <w:r w:rsidRPr="008331DF">
        <w:rPr>
          <w:sz w:val="24"/>
          <w:szCs w:val="24"/>
          <w:lang w:val="en-US"/>
        </w:rPr>
        <w:t>Procurement</w:t>
      </w:r>
      <w:r w:rsidR="00905B8F" w:rsidRPr="008331DF">
        <w:rPr>
          <w:sz w:val="24"/>
          <w:szCs w:val="24"/>
          <w:lang w:val="en-US"/>
        </w:rPr>
        <w:t xml:space="preserve"> </w:t>
      </w:r>
      <w:r w:rsidR="005732C6" w:rsidRPr="00CA5EE5">
        <w:rPr>
          <w:sz w:val="24"/>
          <w:szCs w:val="24"/>
          <w:lang w:val="en-US"/>
        </w:rPr>
        <w:t xml:space="preserve">items </w:t>
      </w:r>
      <w:r w:rsidRPr="008331DF">
        <w:rPr>
          <w:sz w:val="24"/>
          <w:szCs w:val="24"/>
          <w:lang w:val="en-US"/>
        </w:rPr>
        <w:t xml:space="preserve">will be open </w:t>
      </w:r>
      <w:r w:rsidR="00492745">
        <w:rPr>
          <w:sz w:val="24"/>
          <w:szCs w:val="24"/>
          <w:lang w:val="en-US"/>
        </w:rPr>
        <w:t>to competition</w:t>
      </w:r>
      <w:r w:rsidR="005732C6" w:rsidRPr="00CA5EE5">
        <w:rPr>
          <w:sz w:val="24"/>
          <w:szCs w:val="24"/>
          <w:lang w:val="en-US"/>
        </w:rPr>
        <w:t xml:space="preserve"> to</w:t>
      </w:r>
      <w:r w:rsidR="00905B8F" w:rsidRPr="008331DF">
        <w:rPr>
          <w:sz w:val="24"/>
          <w:szCs w:val="24"/>
          <w:lang w:val="en-US"/>
        </w:rPr>
        <w:t xml:space="preserve"> </w:t>
      </w:r>
      <w:r w:rsidRPr="008331DF">
        <w:rPr>
          <w:sz w:val="24"/>
          <w:szCs w:val="24"/>
          <w:lang w:val="en-US"/>
        </w:rPr>
        <w:t xml:space="preserve">ESA participating states to the European Exploration Envelope Programme (“E3P”). Unless specifically mentioned in the invitation letters to the corresponding ITTs, all </w:t>
      </w:r>
      <w:r w:rsidR="00492745">
        <w:rPr>
          <w:sz w:val="24"/>
          <w:szCs w:val="24"/>
          <w:lang w:val="en-US"/>
        </w:rPr>
        <w:t>items</w:t>
      </w:r>
      <w:r w:rsidR="00492745" w:rsidRPr="008331DF">
        <w:rPr>
          <w:sz w:val="24"/>
          <w:szCs w:val="24"/>
          <w:lang w:val="en-US"/>
        </w:rPr>
        <w:t xml:space="preserve"> </w:t>
      </w:r>
      <w:r w:rsidR="00250E9D" w:rsidRPr="008331DF">
        <w:rPr>
          <w:sz w:val="24"/>
          <w:szCs w:val="24"/>
          <w:lang w:val="en-US"/>
        </w:rPr>
        <w:t xml:space="preserve">listed </w:t>
      </w:r>
      <w:r w:rsidRPr="008331DF">
        <w:rPr>
          <w:sz w:val="24"/>
          <w:szCs w:val="24"/>
          <w:lang w:val="en-US"/>
        </w:rPr>
        <w:t xml:space="preserve">are </w:t>
      </w:r>
      <w:r w:rsidR="00250E9D" w:rsidRPr="008331DF">
        <w:rPr>
          <w:sz w:val="24"/>
          <w:szCs w:val="24"/>
          <w:lang w:val="en-US"/>
        </w:rPr>
        <w:t xml:space="preserve">potentially </w:t>
      </w:r>
      <w:r w:rsidRPr="008331DF">
        <w:rPr>
          <w:sz w:val="24"/>
          <w:szCs w:val="24"/>
          <w:lang w:val="en-US"/>
        </w:rPr>
        <w:t>intended to be procured in open competition.</w:t>
      </w:r>
      <w:r w:rsidRPr="00250E9D">
        <w:rPr>
          <w:sz w:val="24"/>
          <w:szCs w:val="24"/>
          <w:lang w:val="en-US"/>
        </w:rPr>
        <w:t xml:space="preserve"> </w:t>
      </w:r>
    </w:p>
    <w:p w:rsidR="005732C6" w:rsidRDefault="00981916" w:rsidP="00981916">
      <w:pPr>
        <w:jc w:val="both"/>
        <w:rPr>
          <w:sz w:val="24"/>
          <w:szCs w:val="24"/>
          <w:lang w:val="en-US"/>
        </w:rPr>
      </w:pPr>
      <w:r w:rsidRPr="00E02FEC">
        <w:rPr>
          <w:sz w:val="24"/>
          <w:szCs w:val="24"/>
          <w:lang w:val="en-US"/>
        </w:rPr>
        <w:t>The</w:t>
      </w:r>
      <w:r w:rsidR="00250E9D" w:rsidRPr="00E02FEC">
        <w:rPr>
          <w:sz w:val="24"/>
          <w:szCs w:val="24"/>
          <w:lang w:val="en-US"/>
        </w:rPr>
        <w:t xml:space="preserve"> </w:t>
      </w:r>
      <w:r w:rsidRPr="00E02FEC">
        <w:rPr>
          <w:sz w:val="24"/>
          <w:szCs w:val="24"/>
          <w:lang w:val="en-US"/>
        </w:rPr>
        <w:t xml:space="preserve">ESA Participating States to the </w:t>
      </w:r>
      <w:r w:rsidR="00492745">
        <w:rPr>
          <w:sz w:val="24"/>
          <w:szCs w:val="24"/>
          <w:lang w:val="en-US"/>
        </w:rPr>
        <w:t xml:space="preserve">second period of </w:t>
      </w:r>
      <w:r w:rsidRPr="00E02FEC">
        <w:rPr>
          <w:sz w:val="24"/>
          <w:szCs w:val="24"/>
          <w:lang w:val="en-US"/>
        </w:rPr>
        <w:t xml:space="preserve">E3P are: Austria, Belgium, Czech Republic, Denmark, France, Germany, Greece, Hungary, Ireland, Italy, Luxembourg, </w:t>
      </w:r>
      <w:r w:rsidR="00492745">
        <w:rPr>
          <w:sz w:val="24"/>
          <w:szCs w:val="24"/>
          <w:lang w:val="en-US"/>
        </w:rPr>
        <w:t xml:space="preserve">The </w:t>
      </w:r>
      <w:r w:rsidRPr="00E02FEC">
        <w:rPr>
          <w:sz w:val="24"/>
          <w:szCs w:val="24"/>
          <w:lang w:val="en-US"/>
        </w:rPr>
        <w:t>Netherlands, Norway, Poland, Portugal, Romania, Spain, Sweden, Switzerland, United Kingdom, Slovenia and Canada.</w:t>
      </w:r>
      <w:r w:rsidR="00434114">
        <w:rPr>
          <w:sz w:val="24"/>
          <w:szCs w:val="24"/>
          <w:lang w:val="en-US"/>
        </w:rPr>
        <w:t xml:space="preserve"> </w:t>
      </w:r>
    </w:p>
    <w:p w:rsidR="00981916" w:rsidRPr="00E02FEC" w:rsidRDefault="00981916" w:rsidP="00981916">
      <w:pPr>
        <w:jc w:val="both"/>
        <w:rPr>
          <w:sz w:val="24"/>
          <w:szCs w:val="24"/>
        </w:rPr>
      </w:pPr>
      <w:r w:rsidRPr="00E02FEC">
        <w:rPr>
          <w:sz w:val="24"/>
          <w:szCs w:val="24"/>
          <w:lang w:val="en-US"/>
        </w:rPr>
        <w:t xml:space="preserve">The Geographical distribution percentages applicable to the </w:t>
      </w:r>
      <w:r w:rsidR="00E02FEC">
        <w:rPr>
          <w:sz w:val="24"/>
          <w:szCs w:val="24"/>
          <w:lang w:val="en-US"/>
        </w:rPr>
        <w:t>I-HAB</w:t>
      </w:r>
      <w:r w:rsidRPr="00E02FEC">
        <w:rPr>
          <w:sz w:val="24"/>
          <w:szCs w:val="24"/>
          <w:lang w:val="en-US"/>
        </w:rPr>
        <w:t xml:space="preserve"> programme are provided for your information:</w:t>
      </w:r>
    </w:p>
    <w:tbl>
      <w:tblPr>
        <w:tblStyle w:val="TableGrid"/>
        <w:tblW w:w="0" w:type="auto"/>
        <w:jc w:val="center"/>
        <w:tblLook w:val="04A0" w:firstRow="1" w:lastRow="0" w:firstColumn="1" w:lastColumn="0" w:noHBand="0" w:noVBand="1"/>
      </w:tblPr>
      <w:tblGrid>
        <w:gridCol w:w="5086"/>
        <w:gridCol w:w="1548"/>
        <w:gridCol w:w="1701"/>
      </w:tblGrid>
      <w:tr w:rsidR="0061254F" w:rsidTr="00F40653">
        <w:trPr>
          <w:jc w:val="center"/>
        </w:trPr>
        <w:tc>
          <w:tcPr>
            <w:tcW w:w="5086" w:type="dxa"/>
          </w:tcPr>
          <w:p w:rsidR="0061254F" w:rsidRDefault="008238BE" w:rsidP="008238BE">
            <w:pPr>
              <w:jc w:val="center"/>
              <w:rPr>
                <w:b/>
                <w:sz w:val="24"/>
                <w:szCs w:val="24"/>
              </w:rPr>
            </w:pPr>
            <w:r>
              <w:rPr>
                <w:b/>
                <w:sz w:val="24"/>
                <w:szCs w:val="24"/>
              </w:rPr>
              <w:t>Country</w:t>
            </w:r>
          </w:p>
        </w:tc>
        <w:tc>
          <w:tcPr>
            <w:tcW w:w="1548" w:type="dxa"/>
          </w:tcPr>
          <w:p w:rsidR="0061254F" w:rsidRDefault="008238BE" w:rsidP="008238BE">
            <w:pPr>
              <w:jc w:val="center"/>
              <w:rPr>
                <w:b/>
                <w:sz w:val="24"/>
                <w:szCs w:val="24"/>
              </w:rPr>
            </w:pPr>
            <w:r>
              <w:rPr>
                <w:b/>
                <w:sz w:val="24"/>
                <w:szCs w:val="24"/>
              </w:rPr>
              <w:t>Min</w:t>
            </w:r>
          </w:p>
        </w:tc>
        <w:tc>
          <w:tcPr>
            <w:tcW w:w="1701" w:type="dxa"/>
          </w:tcPr>
          <w:p w:rsidR="0061254F" w:rsidRDefault="008238BE" w:rsidP="008238BE">
            <w:pPr>
              <w:jc w:val="center"/>
              <w:rPr>
                <w:b/>
                <w:sz w:val="24"/>
                <w:szCs w:val="24"/>
              </w:rPr>
            </w:pPr>
            <w:r>
              <w:rPr>
                <w:b/>
                <w:sz w:val="24"/>
                <w:szCs w:val="24"/>
              </w:rPr>
              <w:t>Max</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Italy</w:t>
            </w:r>
          </w:p>
        </w:tc>
        <w:tc>
          <w:tcPr>
            <w:tcW w:w="1548" w:type="dxa"/>
          </w:tcPr>
          <w:p w:rsidR="0061254F" w:rsidRPr="008238BE" w:rsidRDefault="008238BE" w:rsidP="008238BE">
            <w:pPr>
              <w:jc w:val="center"/>
              <w:rPr>
                <w:sz w:val="24"/>
                <w:szCs w:val="24"/>
              </w:rPr>
            </w:pPr>
            <w:r w:rsidRPr="008238BE">
              <w:rPr>
                <w:sz w:val="24"/>
                <w:szCs w:val="24"/>
              </w:rPr>
              <w:t>35%</w:t>
            </w:r>
          </w:p>
        </w:tc>
        <w:tc>
          <w:tcPr>
            <w:tcW w:w="1701" w:type="dxa"/>
          </w:tcPr>
          <w:p w:rsidR="0061254F" w:rsidRPr="008238BE" w:rsidRDefault="008238BE" w:rsidP="008238BE">
            <w:pPr>
              <w:jc w:val="center"/>
              <w:rPr>
                <w:sz w:val="24"/>
                <w:szCs w:val="24"/>
              </w:rPr>
            </w:pPr>
            <w:r w:rsidRPr="008238BE">
              <w:rPr>
                <w:sz w:val="24"/>
                <w:szCs w:val="24"/>
              </w:rPr>
              <w:t>40%</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France</w:t>
            </w:r>
          </w:p>
        </w:tc>
        <w:tc>
          <w:tcPr>
            <w:tcW w:w="1548" w:type="dxa"/>
          </w:tcPr>
          <w:p w:rsidR="0061254F" w:rsidRPr="008238BE" w:rsidRDefault="008238BE" w:rsidP="008238BE">
            <w:pPr>
              <w:jc w:val="center"/>
              <w:rPr>
                <w:sz w:val="24"/>
                <w:szCs w:val="24"/>
              </w:rPr>
            </w:pPr>
            <w:r w:rsidRPr="008238BE">
              <w:rPr>
                <w:sz w:val="24"/>
                <w:szCs w:val="24"/>
              </w:rPr>
              <w:t>30%</w:t>
            </w:r>
          </w:p>
        </w:tc>
        <w:tc>
          <w:tcPr>
            <w:tcW w:w="1701" w:type="dxa"/>
          </w:tcPr>
          <w:p w:rsidR="0061254F" w:rsidRPr="008238BE" w:rsidRDefault="008238BE" w:rsidP="008238BE">
            <w:pPr>
              <w:jc w:val="center"/>
              <w:rPr>
                <w:sz w:val="24"/>
                <w:szCs w:val="24"/>
              </w:rPr>
            </w:pPr>
            <w:r w:rsidRPr="008238BE">
              <w:rPr>
                <w:sz w:val="24"/>
                <w:szCs w:val="24"/>
              </w:rPr>
              <w:t>35%</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Germany</w:t>
            </w:r>
          </w:p>
        </w:tc>
        <w:tc>
          <w:tcPr>
            <w:tcW w:w="1548" w:type="dxa"/>
          </w:tcPr>
          <w:p w:rsidR="0061254F" w:rsidRPr="008238BE" w:rsidRDefault="008238BE" w:rsidP="008238BE">
            <w:pPr>
              <w:jc w:val="center"/>
              <w:rPr>
                <w:sz w:val="24"/>
                <w:szCs w:val="24"/>
              </w:rPr>
            </w:pPr>
            <w:r w:rsidRPr="008238BE">
              <w:rPr>
                <w:sz w:val="24"/>
                <w:szCs w:val="24"/>
              </w:rPr>
              <w:t>5%</w:t>
            </w:r>
          </w:p>
        </w:tc>
        <w:tc>
          <w:tcPr>
            <w:tcW w:w="1701" w:type="dxa"/>
          </w:tcPr>
          <w:p w:rsidR="0061254F" w:rsidRPr="008238BE" w:rsidRDefault="008238BE" w:rsidP="008238BE">
            <w:pPr>
              <w:jc w:val="center"/>
              <w:rPr>
                <w:sz w:val="24"/>
                <w:szCs w:val="24"/>
              </w:rPr>
            </w:pPr>
            <w:r w:rsidRPr="008238BE">
              <w:rPr>
                <w:sz w:val="24"/>
                <w:szCs w:val="24"/>
              </w:rPr>
              <w:t>10%</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Belgium</w:t>
            </w:r>
          </w:p>
        </w:tc>
        <w:tc>
          <w:tcPr>
            <w:tcW w:w="1548" w:type="dxa"/>
          </w:tcPr>
          <w:p w:rsidR="0061254F" w:rsidRPr="008238BE" w:rsidRDefault="008238BE" w:rsidP="008238BE">
            <w:pPr>
              <w:jc w:val="center"/>
              <w:rPr>
                <w:sz w:val="24"/>
                <w:szCs w:val="24"/>
              </w:rPr>
            </w:pPr>
            <w:r w:rsidRPr="008238BE">
              <w:rPr>
                <w:sz w:val="24"/>
                <w:szCs w:val="24"/>
              </w:rPr>
              <w:t>5%</w:t>
            </w:r>
          </w:p>
        </w:tc>
        <w:tc>
          <w:tcPr>
            <w:tcW w:w="1701" w:type="dxa"/>
          </w:tcPr>
          <w:p w:rsidR="0061254F" w:rsidRPr="008238BE" w:rsidRDefault="008238BE" w:rsidP="008238BE">
            <w:pPr>
              <w:jc w:val="center"/>
              <w:rPr>
                <w:sz w:val="24"/>
                <w:szCs w:val="24"/>
              </w:rPr>
            </w:pPr>
            <w:r w:rsidRPr="008238BE">
              <w:rPr>
                <w:sz w:val="24"/>
                <w:szCs w:val="24"/>
              </w:rPr>
              <w:t>10%</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Spain</w:t>
            </w:r>
          </w:p>
        </w:tc>
        <w:tc>
          <w:tcPr>
            <w:tcW w:w="1548" w:type="dxa"/>
          </w:tcPr>
          <w:p w:rsidR="0061254F" w:rsidRPr="008238BE" w:rsidRDefault="008238BE" w:rsidP="008238BE">
            <w:pPr>
              <w:jc w:val="center"/>
              <w:rPr>
                <w:sz w:val="24"/>
                <w:szCs w:val="24"/>
              </w:rPr>
            </w:pPr>
            <w:r w:rsidRPr="008238BE">
              <w:rPr>
                <w:sz w:val="24"/>
                <w:szCs w:val="24"/>
              </w:rPr>
              <w:t>5%</w:t>
            </w:r>
          </w:p>
        </w:tc>
        <w:tc>
          <w:tcPr>
            <w:tcW w:w="1701" w:type="dxa"/>
          </w:tcPr>
          <w:p w:rsidR="0061254F" w:rsidRPr="008238BE" w:rsidRDefault="008238BE" w:rsidP="008238BE">
            <w:pPr>
              <w:jc w:val="center"/>
              <w:rPr>
                <w:sz w:val="24"/>
                <w:szCs w:val="24"/>
              </w:rPr>
            </w:pPr>
            <w:r w:rsidRPr="008238BE">
              <w:rPr>
                <w:sz w:val="24"/>
                <w:szCs w:val="24"/>
              </w:rPr>
              <w:t>10%</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 xml:space="preserve">Switzerland </w:t>
            </w:r>
          </w:p>
        </w:tc>
        <w:tc>
          <w:tcPr>
            <w:tcW w:w="1548" w:type="dxa"/>
          </w:tcPr>
          <w:p w:rsidR="0061254F" w:rsidRPr="008238BE" w:rsidRDefault="008238BE" w:rsidP="008238BE">
            <w:pPr>
              <w:jc w:val="center"/>
              <w:rPr>
                <w:sz w:val="24"/>
                <w:szCs w:val="24"/>
              </w:rPr>
            </w:pPr>
            <w:r w:rsidRPr="008238BE">
              <w:rPr>
                <w:sz w:val="24"/>
                <w:szCs w:val="24"/>
              </w:rPr>
              <w:t>5%</w:t>
            </w:r>
          </w:p>
        </w:tc>
        <w:tc>
          <w:tcPr>
            <w:tcW w:w="1701" w:type="dxa"/>
          </w:tcPr>
          <w:p w:rsidR="0061254F" w:rsidRPr="008238BE" w:rsidRDefault="008238BE" w:rsidP="008238BE">
            <w:pPr>
              <w:jc w:val="center"/>
              <w:rPr>
                <w:sz w:val="24"/>
                <w:szCs w:val="24"/>
              </w:rPr>
            </w:pPr>
            <w:r w:rsidRPr="008238BE">
              <w:rPr>
                <w:sz w:val="24"/>
                <w:szCs w:val="24"/>
              </w:rPr>
              <w:t>8%</w:t>
            </w:r>
          </w:p>
        </w:tc>
      </w:tr>
      <w:tr w:rsidR="0061254F" w:rsidTr="00F40653">
        <w:trPr>
          <w:jc w:val="center"/>
        </w:trPr>
        <w:tc>
          <w:tcPr>
            <w:tcW w:w="5086" w:type="dxa"/>
          </w:tcPr>
          <w:p w:rsidR="0061254F" w:rsidRPr="008238BE" w:rsidRDefault="008238BE" w:rsidP="00F40653">
            <w:pPr>
              <w:jc w:val="both"/>
              <w:rPr>
                <w:sz w:val="24"/>
                <w:szCs w:val="24"/>
              </w:rPr>
            </w:pPr>
            <w:r w:rsidRPr="008238BE">
              <w:rPr>
                <w:sz w:val="24"/>
                <w:szCs w:val="24"/>
              </w:rPr>
              <w:t xml:space="preserve">Denmark - Norway </w:t>
            </w:r>
            <w:r w:rsidR="00F40653">
              <w:rPr>
                <w:sz w:val="24"/>
                <w:szCs w:val="24"/>
              </w:rPr>
              <w:t xml:space="preserve">- </w:t>
            </w:r>
            <w:r w:rsidRPr="008238BE">
              <w:rPr>
                <w:sz w:val="24"/>
                <w:szCs w:val="24"/>
              </w:rPr>
              <w:t>United Kingdom</w:t>
            </w:r>
          </w:p>
        </w:tc>
        <w:tc>
          <w:tcPr>
            <w:tcW w:w="1548" w:type="dxa"/>
          </w:tcPr>
          <w:p w:rsidR="0061254F" w:rsidRPr="008238BE" w:rsidRDefault="008238BE" w:rsidP="008238BE">
            <w:pPr>
              <w:jc w:val="center"/>
              <w:rPr>
                <w:sz w:val="24"/>
                <w:szCs w:val="24"/>
              </w:rPr>
            </w:pPr>
            <w:r w:rsidRPr="008238BE">
              <w:rPr>
                <w:sz w:val="24"/>
                <w:szCs w:val="24"/>
              </w:rPr>
              <w:t>3%</w:t>
            </w:r>
          </w:p>
        </w:tc>
        <w:tc>
          <w:tcPr>
            <w:tcW w:w="1701" w:type="dxa"/>
          </w:tcPr>
          <w:p w:rsidR="0061254F" w:rsidRPr="008238BE" w:rsidRDefault="008238BE" w:rsidP="008238BE">
            <w:pPr>
              <w:jc w:val="center"/>
              <w:rPr>
                <w:sz w:val="24"/>
                <w:szCs w:val="24"/>
              </w:rPr>
            </w:pPr>
            <w:r w:rsidRPr="008238BE">
              <w:rPr>
                <w:sz w:val="24"/>
                <w:szCs w:val="24"/>
              </w:rPr>
              <w:t>10%</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Romania</w:t>
            </w:r>
          </w:p>
        </w:tc>
        <w:tc>
          <w:tcPr>
            <w:tcW w:w="1548" w:type="dxa"/>
          </w:tcPr>
          <w:p w:rsidR="0061254F" w:rsidRPr="008238BE" w:rsidRDefault="008238BE" w:rsidP="008238BE">
            <w:pPr>
              <w:jc w:val="center"/>
              <w:rPr>
                <w:sz w:val="24"/>
                <w:szCs w:val="24"/>
              </w:rPr>
            </w:pPr>
            <w:r w:rsidRPr="008238BE">
              <w:rPr>
                <w:sz w:val="24"/>
                <w:szCs w:val="24"/>
              </w:rPr>
              <w:t>&gt;0%</w:t>
            </w:r>
          </w:p>
        </w:tc>
        <w:tc>
          <w:tcPr>
            <w:tcW w:w="1701" w:type="dxa"/>
          </w:tcPr>
          <w:p w:rsidR="0061254F" w:rsidRPr="008238BE" w:rsidRDefault="008238BE" w:rsidP="008238BE">
            <w:pPr>
              <w:jc w:val="center"/>
              <w:rPr>
                <w:sz w:val="24"/>
                <w:szCs w:val="24"/>
              </w:rPr>
            </w:pPr>
            <w:r w:rsidRPr="008238BE">
              <w:rPr>
                <w:sz w:val="24"/>
                <w:szCs w:val="24"/>
              </w:rPr>
              <w:t>5%</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 xml:space="preserve">Hungary </w:t>
            </w:r>
          </w:p>
        </w:tc>
        <w:tc>
          <w:tcPr>
            <w:tcW w:w="1548" w:type="dxa"/>
          </w:tcPr>
          <w:p w:rsidR="0061254F" w:rsidRPr="008238BE" w:rsidRDefault="008238BE" w:rsidP="008238BE">
            <w:pPr>
              <w:jc w:val="center"/>
              <w:rPr>
                <w:sz w:val="24"/>
                <w:szCs w:val="24"/>
              </w:rPr>
            </w:pPr>
            <w:r w:rsidRPr="008238BE">
              <w:rPr>
                <w:sz w:val="24"/>
                <w:szCs w:val="24"/>
              </w:rPr>
              <w:t>&gt;0%</w:t>
            </w:r>
          </w:p>
        </w:tc>
        <w:tc>
          <w:tcPr>
            <w:tcW w:w="1701" w:type="dxa"/>
          </w:tcPr>
          <w:p w:rsidR="0061254F" w:rsidRPr="008238BE" w:rsidRDefault="008238BE" w:rsidP="008238BE">
            <w:pPr>
              <w:jc w:val="center"/>
              <w:rPr>
                <w:sz w:val="24"/>
                <w:szCs w:val="24"/>
              </w:rPr>
            </w:pPr>
            <w:r w:rsidRPr="008238BE">
              <w:rPr>
                <w:sz w:val="24"/>
                <w:szCs w:val="24"/>
              </w:rPr>
              <w:t>5%</w:t>
            </w:r>
          </w:p>
        </w:tc>
      </w:tr>
      <w:tr w:rsidR="0061254F" w:rsidTr="00F40653">
        <w:trPr>
          <w:jc w:val="center"/>
        </w:trPr>
        <w:tc>
          <w:tcPr>
            <w:tcW w:w="5086" w:type="dxa"/>
          </w:tcPr>
          <w:p w:rsidR="0061254F" w:rsidRPr="008238BE" w:rsidRDefault="008238BE" w:rsidP="00981916">
            <w:pPr>
              <w:jc w:val="both"/>
              <w:rPr>
                <w:sz w:val="24"/>
                <w:szCs w:val="24"/>
              </w:rPr>
            </w:pPr>
            <w:r w:rsidRPr="008238BE">
              <w:rPr>
                <w:sz w:val="24"/>
                <w:szCs w:val="24"/>
              </w:rPr>
              <w:t>Others</w:t>
            </w:r>
          </w:p>
        </w:tc>
        <w:tc>
          <w:tcPr>
            <w:tcW w:w="1548" w:type="dxa"/>
          </w:tcPr>
          <w:p w:rsidR="0061254F" w:rsidRPr="008238BE" w:rsidRDefault="008238BE" w:rsidP="008238BE">
            <w:pPr>
              <w:jc w:val="center"/>
              <w:rPr>
                <w:sz w:val="24"/>
                <w:szCs w:val="24"/>
              </w:rPr>
            </w:pPr>
            <w:r w:rsidRPr="008238BE">
              <w:rPr>
                <w:sz w:val="24"/>
                <w:szCs w:val="24"/>
              </w:rPr>
              <w:t>&gt;0%</w:t>
            </w:r>
          </w:p>
        </w:tc>
        <w:tc>
          <w:tcPr>
            <w:tcW w:w="1701" w:type="dxa"/>
          </w:tcPr>
          <w:p w:rsidR="0061254F" w:rsidRPr="008238BE" w:rsidRDefault="008238BE" w:rsidP="008238BE">
            <w:pPr>
              <w:jc w:val="center"/>
              <w:rPr>
                <w:sz w:val="24"/>
                <w:szCs w:val="24"/>
              </w:rPr>
            </w:pPr>
            <w:r w:rsidRPr="008238BE">
              <w:rPr>
                <w:sz w:val="24"/>
                <w:szCs w:val="24"/>
              </w:rPr>
              <w:t>5%</w:t>
            </w:r>
          </w:p>
        </w:tc>
      </w:tr>
    </w:tbl>
    <w:p w:rsidR="00E02FEC" w:rsidRPr="00981916" w:rsidRDefault="00E02FEC" w:rsidP="00981916">
      <w:pPr>
        <w:jc w:val="both"/>
        <w:rPr>
          <w:b/>
          <w:sz w:val="24"/>
          <w:szCs w:val="24"/>
        </w:rPr>
      </w:pPr>
    </w:p>
    <w:p w:rsidR="005732C6" w:rsidRDefault="00AD013F" w:rsidP="005732C6">
      <w:pPr>
        <w:jc w:val="both"/>
        <w:rPr>
          <w:sz w:val="24"/>
          <w:szCs w:val="24"/>
        </w:rPr>
      </w:pPr>
      <w:r w:rsidRPr="00250E9D">
        <w:rPr>
          <w:sz w:val="24"/>
          <w:szCs w:val="24"/>
          <w:lang w:val="en-US"/>
        </w:rPr>
        <w:t>In agreement with ESA, preference clauses</w:t>
      </w:r>
      <w:r w:rsidR="00492745">
        <w:rPr>
          <w:sz w:val="24"/>
          <w:szCs w:val="24"/>
          <w:lang w:val="en-US"/>
        </w:rPr>
        <w:t>, or restrictions,</w:t>
      </w:r>
      <w:r w:rsidRPr="00250E9D">
        <w:rPr>
          <w:sz w:val="24"/>
          <w:szCs w:val="24"/>
          <w:lang w:val="en-US"/>
        </w:rPr>
        <w:t xml:space="preserve"> may be defined on a case-by-case basis in order to fulfil the programme’s overall Geographical Distribution and Small-and-Medium-Enterprises participation. </w:t>
      </w:r>
      <w:r w:rsidR="005732C6">
        <w:rPr>
          <w:sz w:val="24"/>
          <w:szCs w:val="24"/>
          <w:lang w:val="en-US"/>
        </w:rPr>
        <w:t xml:space="preserve"> </w:t>
      </w:r>
      <w:r w:rsidR="005732C6" w:rsidRPr="008331DF">
        <w:rPr>
          <w:sz w:val="24"/>
          <w:szCs w:val="24"/>
        </w:rPr>
        <w:t>As a target, 5% minimum of the overall industrial implementation would be allocated to Small and Medium Enterprises.</w:t>
      </w:r>
    </w:p>
    <w:p w:rsidR="000A7248" w:rsidRDefault="000A7248" w:rsidP="00DB1A2B">
      <w:pPr>
        <w:pStyle w:val="ListParagraph"/>
        <w:ind w:left="780"/>
        <w:jc w:val="both"/>
        <w:rPr>
          <w:b/>
          <w:sz w:val="24"/>
          <w:szCs w:val="24"/>
          <w:lang w:val="en-US"/>
        </w:rPr>
      </w:pPr>
    </w:p>
    <w:p w:rsidR="003C3515" w:rsidRDefault="003C3515" w:rsidP="00DB1A2B">
      <w:pPr>
        <w:pStyle w:val="ListParagraph"/>
        <w:ind w:left="780"/>
        <w:jc w:val="both"/>
        <w:rPr>
          <w:b/>
          <w:sz w:val="24"/>
          <w:szCs w:val="24"/>
          <w:lang w:val="en-US"/>
        </w:rPr>
      </w:pPr>
    </w:p>
    <w:p w:rsidR="003C3515" w:rsidRPr="00DB1A2B" w:rsidRDefault="003C3515" w:rsidP="00DB1A2B">
      <w:pPr>
        <w:pStyle w:val="ListParagraph"/>
        <w:ind w:left="780"/>
        <w:jc w:val="both"/>
        <w:rPr>
          <w:b/>
          <w:sz w:val="24"/>
          <w:szCs w:val="24"/>
          <w:lang w:val="en-US"/>
        </w:rPr>
      </w:pPr>
    </w:p>
    <w:p w:rsidR="00AD013F" w:rsidRPr="00A53118" w:rsidRDefault="00492745" w:rsidP="00DB1A2B">
      <w:pPr>
        <w:pStyle w:val="ListParagraph"/>
        <w:numPr>
          <w:ilvl w:val="0"/>
          <w:numId w:val="5"/>
        </w:numPr>
        <w:jc w:val="both"/>
        <w:rPr>
          <w:b/>
          <w:sz w:val="24"/>
          <w:szCs w:val="24"/>
          <w:lang w:val="en-US"/>
        </w:rPr>
      </w:pPr>
      <w:r>
        <w:rPr>
          <w:b/>
          <w:sz w:val="24"/>
          <w:szCs w:val="24"/>
          <w:lang w:val="en-US"/>
        </w:rPr>
        <w:t>AN</w:t>
      </w:r>
      <w:r w:rsidR="00F40653">
        <w:rPr>
          <w:b/>
          <w:sz w:val="24"/>
          <w:szCs w:val="24"/>
          <w:lang w:val="en-US"/>
        </w:rPr>
        <w:t>T</w:t>
      </w:r>
      <w:r>
        <w:rPr>
          <w:b/>
          <w:sz w:val="24"/>
          <w:szCs w:val="24"/>
          <w:lang w:val="en-US"/>
        </w:rPr>
        <w:t xml:space="preserve">ICIPATED </w:t>
      </w:r>
      <w:r w:rsidR="00AD013F">
        <w:rPr>
          <w:b/>
          <w:sz w:val="24"/>
          <w:szCs w:val="24"/>
          <w:lang w:val="en-US"/>
        </w:rPr>
        <w:t>LIST OF</w:t>
      </w:r>
      <w:r w:rsidR="00AD013F" w:rsidRPr="00A53118">
        <w:rPr>
          <w:b/>
          <w:sz w:val="24"/>
          <w:szCs w:val="24"/>
          <w:lang w:val="en-US"/>
        </w:rPr>
        <w:t xml:space="preserve"> </w:t>
      </w:r>
      <w:r>
        <w:rPr>
          <w:b/>
          <w:sz w:val="24"/>
          <w:szCs w:val="24"/>
          <w:lang w:val="en-US"/>
        </w:rPr>
        <w:t xml:space="preserve">ITEMS </w:t>
      </w:r>
      <w:r w:rsidR="00AD013F" w:rsidRPr="00A53118">
        <w:rPr>
          <w:b/>
          <w:sz w:val="24"/>
          <w:szCs w:val="24"/>
          <w:lang w:val="en-US"/>
        </w:rPr>
        <w:t xml:space="preserve">TO BE </w:t>
      </w:r>
      <w:r w:rsidR="00AD013F">
        <w:rPr>
          <w:b/>
          <w:sz w:val="24"/>
          <w:szCs w:val="24"/>
          <w:lang w:val="en-US"/>
        </w:rPr>
        <w:t>PROCURED</w:t>
      </w:r>
    </w:p>
    <w:p w:rsidR="008238BE" w:rsidRDefault="008238BE" w:rsidP="007801E0">
      <w:pPr>
        <w:jc w:val="both"/>
        <w:rPr>
          <w:sz w:val="24"/>
          <w:szCs w:val="24"/>
        </w:rPr>
      </w:pPr>
      <w:r>
        <w:rPr>
          <w:sz w:val="24"/>
          <w:szCs w:val="24"/>
        </w:rPr>
        <w:t xml:space="preserve">The </w:t>
      </w:r>
      <w:r w:rsidR="005732C6" w:rsidRPr="008331DF">
        <w:rPr>
          <w:sz w:val="24"/>
          <w:szCs w:val="24"/>
        </w:rPr>
        <w:t xml:space="preserve">anticipated </w:t>
      </w:r>
      <w:r w:rsidR="00AD013F" w:rsidRPr="008331DF">
        <w:rPr>
          <w:sz w:val="24"/>
          <w:szCs w:val="24"/>
        </w:rPr>
        <w:t>l</w:t>
      </w:r>
      <w:r w:rsidR="00AD013F">
        <w:rPr>
          <w:sz w:val="24"/>
          <w:szCs w:val="24"/>
        </w:rPr>
        <w:t xml:space="preserve">ist </w:t>
      </w:r>
      <w:r>
        <w:rPr>
          <w:sz w:val="24"/>
          <w:szCs w:val="24"/>
        </w:rPr>
        <w:t>of the equipment to be procured reported hereafter:</w:t>
      </w:r>
    </w:p>
    <w:p w:rsidR="008238BE" w:rsidRPr="008238BE" w:rsidRDefault="008238BE" w:rsidP="008238BE">
      <w:pPr>
        <w:jc w:val="both"/>
        <w:rPr>
          <w:b/>
          <w:sz w:val="24"/>
          <w:szCs w:val="24"/>
        </w:rPr>
      </w:pPr>
      <w:r w:rsidRPr="008238BE">
        <w:rPr>
          <w:b/>
          <w:sz w:val="24"/>
          <w:szCs w:val="24"/>
        </w:rPr>
        <w:t xml:space="preserve">Avionics Equipment </w:t>
      </w:r>
    </w:p>
    <w:p w:rsidR="008238BE" w:rsidRPr="008238BE" w:rsidRDefault="00C57E52" w:rsidP="008238BE">
      <w:pPr>
        <w:pStyle w:val="ListParagraph"/>
        <w:numPr>
          <w:ilvl w:val="0"/>
          <w:numId w:val="6"/>
        </w:numPr>
        <w:jc w:val="both"/>
        <w:rPr>
          <w:sz w:val="24"/>
          <w:szCs w:val="24"/>
        </w:rPr>
      </w:pPr>
      <w:r>
        <w:rPr>
          <w:sz w:val="24"/>
          <w:szCs w:val="24"/>
        </w:rPr>
        <w:t>Flight Computer Module and Remote Interface Unit (</w:t>
      </w:r>
      <w:r w:rsidRPr="00C57E52">
        <w:rPr>
          <w:sz w:val="24"/>
          <w:szCs w:val="24"/>
        </w:rPr>
        <w:t xml:space="preserve">FCM </w:t>
      </w:r>
      <w:r w:rsidR="008238BE" w:rsidRPr="00C57E52">
        <w:rPr>
          <w:sz w:val="24"/>
          <w:szCs w:val="24"/>
        </w:rPr>
        <w:t>and RIU</w:t>
      </w:r>
      <w:r>
        <w:rPr>
          <w:sz w:val="24"/>
          <w:szCs w:val="24"/>
        </w:rPr>
        <w:t>)</w:t>
      </w:r>
    </w:p>
    <w:p w:rsidR="008238BE" w:rsidRPr="00C57E52" w:rsidRDefault="008238BE" w:rsidP="008238BE">
      <w:pPr>
        <w:pStyle w:val="ListParagraph"/>
        <w:numPr>
          <w:ilvl w:val="0"/>
          <w:numId w:val="6"/>
        </w:numPr>
        <w:jc w:val="both"/>
        <w:rPr>
          <w:sz w:val="24"/>
          <w:szCs w:val="24"/>
        </w:rPr>
      </w:pPr>
      <w:r w:rsidRPr="00C57E52">
        <w:rPr>
          <w:sz w:val="24"/>
          <w:szCs w:val="24"/>
        </w:rPr>
        <w:t>C</w:t>
      </w:r>
      <w:r w:rsidR="00C57E52" w:rsidRPr="00C57E52">
        <w:rPr>
          <w:sz w:val="24"/>
          <w:szCs w:val="24"/>
        </w:rPr>
        <w:t>ritical Mass memory (CMM)</w:t>
      </w:r>
    </w:p>
    <w:p w:rsidR="008238BE" w:rsidRPr="00FD507B" w:rsidRDefault="008238BE" w:rsidP="008238BE">
      <w:pPr>
        <w:pStyle w:val="ListParagraph"/>
        <w:numPr>
          <w:ilvl w:val="0"/>
          <w:numId w:val="6"/>
        </w:numPr>
        <w:jc w:val="both"/>
        <w:rPr>
          <w:sz w:val="24"/>
          <w:szCs w:val="24"/>
        </w:rPr>
      </w:pPr>
      <w:r w:rsidRPr="00FD507B">
        <w:rPr>
          <w:sz w:val="24"/>
          <w:szCs w:val="24"/>
        </w:rPr>
        <w:t>Non critical mass memory</w:t>
      </w:r>
      <w:r w:rsidR="00C57E52" w:rsidRPr="00FD507B">
        <w:rPr>
          <w:sz w:val="24"/>
          <w:szCs w:val="24"/>
        </w:rPr>
        <w:t xml:space="preserve"> (NCMM)</w:t>
      </w:r>
    </w:p>
    <w:p w:rsidR="008238BE" w:rsidRPr="001444DC" w:rsidRDefault="00C57E52" w:rsidP="008238BE">
      <w:pPr>
        <w:pStyle w:val="ListParagraph"/>
        <w:numPr>
          <w:ilvl w:val="0"/>
          <w:numId w:val="6"/>
        </w:numPr>
        <w:jc w:val="both"/>
        <w:rPr>
          <w:sz w:val="24"/>
          <w:szCs w:val="24"/>
        </w:rPr>
      </w:pPr>
      <w:r w:rsidRPr="00FD507B">
        <w:rPr>
          <w:sz w:val="24"/>
          <w:szCs w:val="24"/>
        </w:rPr>
        <w:t xml:space="preserve">Time Triggered </w:t>
      </w:r>
      <w:r w:rsidR="00022D8C" w:rsidRPr="001B4BFA">
        <w:rPr>
          <w:sz w:val="24"/>
          <w:szCs w:val="24"/>
        </w:rPr>
        <w:t>Equipment</w:t>
      </w:r>
      <w:r w:rsidRPr="001444DC">
        <w:rPr>
          <w:sz w:val="24"/>
          <w:szCs w:val="24"/>
        </w:rPr>
        <w:t xml:space="preserve"> </w:t>
      </w:r>
      <w:r w:rsidR="00FD507B" w:rsidRPr="001444DC">
        <w:rPr>
          <w:sz w:val="24"/>
          <w:szCs w:val="24"/>
        </w:rPr>
        <w:t xml:space="preserve">Switch Unit </w:t>
      </w:r>
      <w:r w:rsidRPr="001444DC">
        <w:rPr>
          <w:sz w:val="24"/>
          <w:szCs w:val="24"/>
        </w:rPr>
        <w:t>(</w:t>
      </w:r>
      <w:r w:rsidR="00022D8C" w:rsidRPr="001444DC">
        <w:rPr>
          <w:sz w:val="24"/>
          <w:szCs w:val="24"/>
        </w:rPr>
        <w:t>TTE</w:t>
      </w:r>
      <w:r w:rsidR="00FD507B" w:rsidRPr="001444DC">
        <w:rPr>
          <w:sz w:val="24"/>
          <w:szCs w:val="24"/>
        </w:rPr>
        <w:t>SU</w:t>
      </w:r>
      <w:r w:rsidRPr="001444DC">
        <w:rPr>
          <w:sz w:val="24"/>
          <w:szCs w:val="24"/>
        </w:rPr>
        <w:t xml:space="preserve">)  </w:t>
      </w:r>
    </w:p>
    <w:p w:rsidR="008238BE" w:rsidRPr="00022D8C" w:rsidRDefault="00C57E52" w:rsidP="007801E0">
      <w:pPr>
        <w:jc w:val="both"/>
        <w:rPr>
          <w:b/>
          <w:sz w:val="24"/>
          <w:szCs w:val="24"/>
        </w:rPr>
      </w:pPr>
      <w:r w:rsidRPr="00FD507B">
        <w:rPr>
          <w:b/>
          <w:sz w:val="24"/>
          <w:szCs w:val="24"/>
        </w:rPr>
        <w:t>Mechanical</w:t>
      </w:r>
      <w:r w:rsidRPr="00022D8C">
        <w:rPr>
          <w:b/>
          <w:sz w:val="24"/>
          <w:szCs w:val="24"/>
        </w:rPr>
        <w:t xml:space="preserve"> Equipment</w:t>
      </w:r>
    </w:p>
    <w:p w:rsidR="00C57E52" w:rsidRPr="00C57E52" w:rsidRDefault="00C57E52" w:rsidP="00C57E52">
      <w:pPr>
        <w:pStyle w:val="ListParagraph"/>
        <w:numPr>
          <w:ilvl w:val="0"/>
          <w:numId w:val="7"/>
        </w:numPr>
        <w:jc w:val="both"/>
        <w:rPr>
          <w:sz w:val="24"/>
          <w:szCs w:val="24"/>
        </w:rPr>
      </w:pPr>
      <w:r w:rsidRPr="00C57E52">
        <w:rPr>
          <w:sz w:val="24"/>
          <w:szCs w:val="24"/>
        </w:rPr>
        <w:t>Launch Vehicle Adapter (LVA)</w:t>
      </w:r>
    </w:p>
    <w:p w:rsidR="00C57E52" w:rsidRDefault="00C57E52" w:rsidP="00C57E52">
      <w:pPr>
        <w:pStyle w:val="ListParagraph"/>
        <w:numPr>
          <w:ilvl w:val="0"/>
          <w:numId w:val="7"/>
        </w:numPr>
        <w:jc w:val="both"/>
        <w:rPr>
          <w:sz w:val="24"/>
          <w:szCs w:val="24"/>
        </w:rPr>
      </w:pPr>
      <w:r w:rsidRPr="00C57E52">
        <w:rPr>
          <w:sz w:val="24"/>
          <w:szCs w:val="24"/>
        </w:rPr>
        <w:t xml:space="preserve">External Secondary Structures </w:t>
      </w:r>
      <w:r>
        <w:rPr>
          <w:sz w:val="24"/>
          <w:szCs w:val="24"/>
        </w:rPr>
        <w:t>(</w:t>
      </w:r>
      <w:r w:rsidRPr="00C57E52">
        <w:rPr>
          <w:sz w:val="24"/>
          <w:szCs w:val="24"/>
        </w:rPr>
        <w:t>ESS)</w:t>
      </w:r>
    </w:p>
    <w:p w:rsidR="00C57E52" w:rsidRDefault="00C57E52" w:rsidP="00C57E52">
      <w:pPr>
        <w:pStyle w:val="ListParagraph"/>
        <w:numPr>
          <w:ilvl w:val="0"/>
          <w:numId w:val="7"/>
        </w:numPr>
        <w:jc w:val="both"/>
        <w:rPr>
          <w:sz w:val="24"/>
          <w:szCs w:val="24"/>
        </w:rPr>
      </w:pPr>
      <w:r>
        <w:rPr>
          <w:sz w:val="24"/>
          <w:szCs w:val="24"/>
        </w:rPr>
        <w:t xml:space="preserve">Meteorite Protection </w:t>
      </w:r>
      <w:r w:rsidR="00022D8C">
        <w:rPr>
          <w:sz w:val="24"/>
          <w:szCs w:val="24"/>
        </w:rPr>
        <w:t>Structure (</w:t>
      </w:r>
      <w:r w:rsidRPr="00C57E52">
        <w:rPr>
          <w:sz w:val="24"/>
          <w:szCs w:val="24"/>
        </w:rPr>
        <w:t>MPS</w:t>
      </w:r>
      <w:r w:rsidR="00022D8C">
        <w:rPr>
          <w:sz w:val="24"/>
          <w:szCs w:val="24"/>
        </w:rPr>
        <w:t>)</w:t>
      </w:r>
    </w:p>
    <w:p w:rsidR="00022D8C" w:rsidRPr="00022D8C" w:rsidRDefault="00022D8C" w:rsidP="00022D8C">
      <w:pPr>
        <w:jc w:val="both"/>
        <w:rPr>
          <w:b/>
          <w:sz w:val="24"/>
          <w:szCs w:val="24"/>
        </w:rPr>
      </w:pPr>
      <w:r>
        <w:rPr>
          <w:b/>
          <w:sz w:val="24"/>
          <w:szCs w:val="24"/>
        </w:rPr>
        <w:t xml:space="preserve">Active </w:t>
      </w:r>
      <w:r w:rsidRPr="00022D8C">
        <w:rPr>
          <w:b/>
          <w:sz w:val="24"/>
          <w:szCs w:val="24"/>
        </w:rPr>
        <w:t>Thermal Control S</w:t>
      </w:r>
      <w:r w:rsidR="00FE291E">
        <w:rPr>
          <w:b/>
          <w:sz w:val="24"/>
          <w:szCs w:val="24"/>
        </w:rPr>
        <w:t>ubs</w:t>
      </w:r>
      <w:r w:rsidRPr="00022D8C">
        <w:rPr>
          <w:b/>
          <w:sz w:val="24"/>
          <w:szCs w:val="24"/>
        </w:rPr>
        <w:t>ystem</w:t>
      </w:r>
      <w:r>
        <w:rPr>
          <w:b/>
          <w:sz w:val="24"/>
          <w:szCs w:val="24"/>
        </w:rPr>
        <w:t xml:space="preserve"> (ATCS)</w:t>
      </w:r>
    </w:p>
    <w:p w:rsidR="00022D8C" w:rsidRDefault="00022D8C" w:rsidP="00022D8C">
      <w:pPr>
        <w:pStyle w:val="ListParagraph"/>
        <w:numPr>
          <w:ilvl w:val="0"/>
          <w:numId w:val="8"/>
        </w:numPr>
        <w:jc w:val="both"/>
        <w:rPr>
          <w:sz w:val="24"/>
          <w:szCs w:val="24"/>
        </w:rPr>
      </w:pPr>
      <w:r w:rsidRPr="00022D8C">
        <w:rPr>
          <w:sz w:val="24"/>
          <w:szCs w:val="24"/>
        </w:rPr>
        <w:t xml:space="preserve">TCS Pump Package Assembly Controller </w:t>
      </w:r>
      <w:r>
        <w:rPr>
          <w:sz w:val="24"/>
          <w:szCs w:val="24"/>
        </w:rPr>
        <w:t>(PPAC)</w:t>
      </w:r>
    </w:p>
    <w:p w:rsidR="00022D8C" w:rsidRDefault="00022D8C" w:rsidP="00022D8C">
      <w:pPr>
        <w:pStyle w:val="ListParagraph"/>
        <w:numPr>
          <w:ilvl w:val="0"/>
          <w:numId w:val="8"/>
        </w:numPr>
        <w:jc w:val="both"/>
        <w:rPr>
          <w:sz w:val="24"/>
          <w:szCs w:val="24"/>
        </w:rPr>
      </w:pPr>
      <w:r w:rsidRPr="00022D8C">
        <w:rPr>
          <w:sz w:val="24"/>
          <w:szCs w:val="24"/>
        </w:rPr>
        <w:t>TCS Delta Pressure Sensors</w:t>
      </w:r>
      <w:r>
        <w:rPr>
          <w:sz w:val="24"/>
          <w:szCs w:val="24"/>
        </w:rPr>
        <w:t xml:space="preserve"> and </w:t>
      </w:r>
      <w:r w:rsidRPr="00022D8C">
        <w:rPr>
          <w:sz w:val="24"/>
          <w:szCs w:val="24"/>
        </w:rPr>
        <w:t>Pressure sensors</w:t>
      </w:r>
      <w:r>
        <w:rPr>
          <w:sz w:val="24"/>
          <w:szCs w:val="24"/>
        </w:rPr>
        <w:t xml:space="preserve"> (DPS/TPS)</w:t>
      </w:r>
    </w:p>
    <w:p w:rsidR="00022D8C" w:rsidRDefault="00022D8C" w:rsidP="00022D8C">
      <w:pPr>
        <w:pStyle w:val="ListParagraph"/>
        <w:numPr>
          <w:ilvl w:val="0"/>
          <w:numId w:val="8"/>
        </w:numPr>
        <w:jc w:val="both"/>
        <w:rPr>
          <w:sz w:val="24"/>
          <w:szCs w:val="24"/>
        </w:rPr>
      </w:pPr>
      <w:r w:rsidRPr="00022D8C">
        <w:rPr>
          <w:sz w:val="24"/>
          <w:szCs w:val="24"/>
        </w:rPr>
        <w:t>TCS Filters</w:t>
      </w:r>
      <w:r>
        <w:rPr>
          <w:sz w:val="24"/>
          <w:szCs w:val="24"/>
        </w:rPr>
        <w:t xml:space="preserve"> </w:t>
      </w:r>
    </w:p>
    <w:p w:rsidR="00022D8C" w:rsidRDefault="00022D8C" w:rsidP="00022D8C">
      <w:pPr>
        <w:pStyle w:val="ListParagraph"/>
        <w:numPr>
          <w:ilvl w:val="0"/>
          <w:numId w:val="8"/>
        </w:numPr>
        <w:jc w:val="both"/>
        <w:rPr>
          <w:sz w:val="24"/>
          <w:szCs w:val="24"/>
        </w:rPr>
      </w:pPr>
      <w:r w:rsidRPr="00022D8C">
        <w:rPr>
          <w:sz w:val="24"/>
          <w:szCs w:val="24"/>
        </w:rPr>
        <w:t xml:space="preserve">TCS Three Way Mixing Valve </w:t>
      </w:r>
      <w:r>
        <w:rPr>
          <w:sz w:val="24"/>
          <w:szCs w:val="24"/>
        </w:rPr>
        <w:t>and</w:t>
      </w:r>
      <w:r w:rsidRPr="00022D8C">
        <w:rPr>
          <w:sz w:val="24"/>
          <w:szCs w:val="24"/>
        </w:rPr>
        <w:t xml:space="preserve"> LOOV (</w:t>
      </w:r>
      <w:r>
        <w:rPr>
          <w:sz w:val="24"/>
          <w:szCs w:val="24"/>
        </w:rPr>
        <w:t>TWMV/LOOV)</w:t>
      </w:r>
    </w:p>
    <w:p w:rsidR="00022D8C" w:rsidRDefault="00022D8C" w:rsidP="00022D8C">
      <w:pPr>
        <w:pStyle w:val="ListParagraph"/>
        <w:numPr>
          <w:ilvl w:val="0"/>
          <w:numId w:val="8"/>
        </w:numPr>
        <w:jc w:val="both"/>
        <w:rPr>
          <w:sz w:val="24"/>
          <w:szCs w:val="24"/>
        </w:rPr>
      </w:pPr>
      <w:r>
        <w:rPr>
          <w:sz w:val="24"/>
          <w:szCs w:val="24"/>
        </w:rPr>
        <w:t xml:space="preserve">TCS </w:t>
      </w:r>
      <w:r w:rsidRPr="00022D8C">
        <w:rPr>
          <w:sz w:val="24"/>
          <w:szCs w:val="24"/>
        </w:rPr>
        <w:t xml:space="preserve">GAS </w:t>
      </w:r>
      <w:r>
        <w:rPr>
          <w:sz w:val="24"/>
          <w:szCs w:val="24"/>
        </w:rPr>
        <w:t>T</w:t>
      </w:r>
      <w:r w:rsidRPr="00022D8C">
        <w:rPr>
          <w:sz w:val="24"/>
          <w:szCs w:val="24"/>
        </w:rPr>
        <w:t>rap</w:t>
      </w:r>
    </w:p>
    <w:p w:rsidR="00022D8C" w:rsidRDefault="00022D8C" w:rsidP="00022D8C">
      <w:pPr>
        <w:pStyle w:val="ListParagraph"/>
        <w:numPr>
          <w:ilvl w:val="0"/>
          <w:numId w:val="8"/>
        </w:numPr>
        <w:jc w:val="both"/>
        <w:rPr>
          <w:sz w:val="24"/>
          <w:szCs w:val="24"/>
        </w:rPr>
      </w:pPr>
      <w:r w:rsidRPr="00022D8C">
        <w:rPr>
          <w:sz w:val="24"/>
          <w:szCs w:val="24"/>
        </w:rPr>
        <w:t>TCS Regenerative Heater Exchanger and Interloop Heat Exchanger</w:t>
      </w:r>
      <w:r>
        <w:rPr>
          <w:sz w:val="24"/>
          <w:szCs w:val="24"/>
        </w:rPr>
        <w:t xml:space="preserve"> (RHE and IHE)</w:t>
      </w:r>
    </w:p>
    <w:p w:rsidR="00FE291E" w:rsidRDefault="00AC690E" w:rsidP="00FE291E">
      <w:pPr>
        <w:pStyle w:val="ListParagraph"/>
        <w:numPr>
          <w:ilvl w:val="0"/>
          <w:numId w:val="8"/>
        </w:numPr>
        <w:jc w:val="both"/>
        <w:rPr>
          <w:sz w:val="24"/>
          <w:szCs w:val="24"/>
        </w:rPr>
      </w:pPr>
      <w:r w:rsidRPr="00AC690E">
        <w:rPr>
          <w:sz w:val="24"/>
          <w:szCs w:val="24"/>
        </w:rPr>
        <w:t>TCS Diverter and Check Valves</w:t>
      </w:r>
      <w:r w:rsidR="008E5618">
        <w:rPr>
          <w:sz w:val="24"/>
          <w:szCs w:val="24"/>
        </w:rPr>
        <w:t xml:space="preserve"> (DV and CV)</w:t>
      </w:r>
    </w:p>
    <w:p w:rsidR="00FE291E" w:rsidRPr="00FE291E" w:rsidRDefault="00FE291E" w:rsidP="00FE291E">
      <w:pPr>
        <w:jc w:val="both"/>
        <w:rPr>
          <w:b/>
          <w:sz w:val="24"/>
          <w:szCs w:val="24"/>
        </w:rPr>
      </w:pPr>
      <w:r w:rsidRPr="00FE291E">
        <w:rPr>
          <w:b/>
          <w:sz w:val="24"/>
          <w:szCs w:val="24"/>
        </w:rPr>
        <w:t>Passive Thermal Control Subsystem (PTCS)</w:t>
      </w:r>
    </w:p>
    <w:p w:rsidR="00FE291E" w:rsidRPr="00FE291E" w:rsidRDefault="00FE291E" w:rsidP="00FE291E">
      <w:pPr>
        <w:pStyle w:val="ListParagraph"/>
        <w:numPr>
          <w:ilvl w:val="0"/>
          <w:numId w:val="12"/>
        </w:numPr>
        <w:jc w:val="both"/>
        <w:rPr>
          <w:sz w:val="24"/>
          <w:szCs w:val="24"/>
        </w:rPr>
      </w:pPr>
      <w:r>
        <w:rPr>
          <w:sz w:val="24"/>
          <w:szCs w:val="24"/>
        </w:rPr>
        <w:t>Passive Thermal Control Subsystem</w:t>
      </w:r>
      <w:r w:rsidR="00FD507B">
        <w:rPr>
          <w:sz w:val="24"/>
          <w:szCs w:val="24"/>
        </w:rPr>
        <w:t xml:space="preserve"> _(heaters, Thermistors, Thermostats)</w:t>
      </w:r>
      <w:r>
        <w:rPr>
          <w:sz w:val="24"/>
          <w:szCs w:val="24"/>
        </w:rPr>
        <w:t xml:space="preserve"> (PTCS)</w:t>
      </w:r>
    </w:p>
    <w:p w:rsidR="00022D8C" w:rsidRDefault="00022D8C" w:rsidP="00022D8C">
      <w:pPr>
        <w:jc w:val="both"/>
        <w:rPr>
          <w:b/>
          <w:sz w:val="24"/>
          <w:szCs w:val="24"/>
        </w:rPr>
      </w:pPr>
      <w:r w:rsidRPr="00022D8C">
        <w:rPr>
          <w:b/>
          <w:sz w:val="24"/>
          <w:szCs w:val="24"/>
        </w:rPr>
        <w:t xml:space="preserve">Environmental Control </w:t>
      </w:r>
      <w:r w:rsidR="00AC690E">
        <w:rPr>
          <w:b/>
          <w:sz w:val="24"/>
          <w:szCs w:val="24"/>
        </w:rPr>
        <w:t xml:space="preserve">&amp; </w:t>
      </w:r>
      <w:r w:rsidRPr="00022D8C">
        <w:rPr>
          <w:b/>
          <w:sz w:val="24"/>
          <w:szCs w:val="24"/>
        </w:rPr>
        <w:t xml:space="preserve">Life </w:t>
      </w:r>
      <w:r w:rsidR="00AC690E">
        <w:rPr>
          <w:b/>
          <w:sz w:val="24"/>
          <w:szCs w:val="24"/>
        </w:rPr>
        <w:t>Support Sstem</w:t>
      </w:r>
      <w:r w:rsidRPr="00022D8C">
        <w:rPr>
          <w:b/>
          <w:sz w:val="24"/>
          <w:szCs w:val="24"/>
        </w:rPr>
        <w:t>(ECLSS)</w:t>
      </w:r>
    </w:p>
    <w:p w:rsidR="00022D8C" w:rsidRPr="00022D8C" w:rsidRDefault="00022D8C" w:rsidP="00022D8C">
      <w:pPr>
        <w:pStyle w:val="ListParagraph"/>
        <w:numPr>
          <w:ilvl w:val="0"/>
          <w:numId w:val="9"/>
        </w:numPr>
        <w:jc w:val="both"/>
        <w:rPr>
          <w:sz w:val="24"/>
          <w:szCs w:val="24"/>
        </w:rPr>
      </w:pPr>
      <w:r w:rsidRPr="00022D8C">
        <w:rPr>
          <w:sz w:val="24"/>
          <w:szCs w:val="24"/>
        </w:rPr>
        <w:t>ECLS</w:t>
      </w:r>
      <w:r w:rsidR="00AC690E">
        <w:rPr>
          <w:sz w:val="24"/>
          <w:szCs w:val="24"/>
        </w:rPr>
        <w:t>S</w:t>
      </w:r>
      <w:r w:rsidRPr="00022D8C">
        <w:rPr>
          <w:sz w:val="24"/>
          <w:szCs w:val="24"/>
        </w:rPr>
        <w:t xml:space="preserve"> Positive Pressure Relief Assy (PPRA)</w:t>
      </w:r>
    </w:p>
    <w:p w:rsidR="00022D8C" w:rsidRDefault="00022D8C" w:rsidP="00022D8C">
      <w:pPr>
        <w:pStyle w:val="ListParagraph"/>
        <w:numPr>
          <w:ilvl w:val="0"/>
          <w:numId w:val="9"/>
        </w:numPr>
        <w:jc w:val="both"/>
        <w:rPr>
          <w:sz w:val="24"/>
          <w:szCs w:val="24"/>
        </w:rPr>
      </w:pPr>
      <w:r w:rsidRPr="00022D8C">
        <w:rPr>
          <w:sz w:val="24"/>
          <w:szCs w:val="24"/>
        </w:rPr>
        <w:t>ECLS</w:t>
      </w:r>
      <w:r w:rsidR="00AC690E">
        <w:rPr>
          <w:sz w:val="24"/>
          <w:szCs w:val="24"/>
        </w:rPr>
        <w:t>S</w:t>
      </w:r>
      <w:r w:rsidRPr="00022D8C">
        <w:rPr>
          <w:sz w:val="24"/>
          <w:szCs w:val="24"/>
        </w:rPr>
        <w:t xml:space="preserve"> Intermodule Ventilation Valve</w:t>
      </w:r>
      <w:r w:rsidR="00FE291E">
        <w:rPr>
          <w:sz w:val="24"/>
          <w:szCs w:val="24"/>
        </w:rPr>
        <w:t xml:space="preserve"> (IMV)</w:t>
      </w:r>
    </w:p>
    <w:p w:rsidR="00022D8C" w:rsidRDefault="00022D8C" w:rsidP="00022D8C">
      <w:pPr>
        <w:pStyle w:val="ListParagraph"/>
        <w:numPr>
          <w:ilvl w:val="0"/>
          <w:numId w:val="9"/>
        </w:numPr>
        <w:jc w:val="both"/>
        <w:rPr>
          <w:sz w:val="24"/>
          <w:szCs w:val="24"/>
        </w:rPr>
      </w:pPr>
      <w:r w:rsidRPr="00022D8C">
        <w:rPr>
          <w:sz w:val="24"/>
          <w:szCs w:val="24"/>
        </w:rPr>
        <w:t>ECLS</w:t>
      </w:r>
      <w:r w:rsidR="00AC690E">
        <w:rPr>
          <w:sz w:val="24"/>
          <w:szCs w:val="24"/>
        </w:rPr>
        <w:t>S</w:t>
      </w:r>
      <w:r w:rsidRPr="00022D8C">
        <w:rPr>
          <w:sz w:val="24"/>
          <w:szCs w:val="24"/>
        </w:rPr>
        <w:t xml:space="preserve"> Manual Pressure Equalization Valve (MPEV)</w:t>
      </w:r>
    </w:p>
    <w:p w:rsidR="00AC690E" w:rsidRDefault="00AC690E" w:rsidP="00AC690E">
      <w:pPr>
        <w:pStyle w:val="ListParagraph"/>
        <w:numPr>
          <w:ilvl w:val="0"/>
          <w:numId w:val="9"/>
        </w:numPr>
        <w:jc w:val="both"/>
        <w:rPr>
          <w:sz w:val="24"/>
          <w:szCs w:val="24"/>
        </w:rPr>
      </w:pPr>
      <w:r w:rsidRPr="00AC690E">
        <w:rPr>
          <w:sz w:val="24"/>
          <w:szCs w:val="24"/>
        </w:rPr>
        <w:t>ECL</w:t>
      </w:r>
      <w:r>
        <w:rPr>
          <w:sz w:val="24"/>
          <w:szCs w:val="24"/>
        </w:rPr>
        <w:t>S</w:t>
      </w:r>
      <w:r w:rsidRPr="00AC690E">
        <w:rPr>
          <w:sz w:val="24"/>
          <w:szCs w:val="24"/>
        </w:rPr>
        <w:t xml:space="preserve">S Venting and Shut/Off valves </w:t>
      </w:r>
      <w:r>
        <w:rPr>
          <w:sz w:val="24"/>
          <w:szCs w:val="24"/>
        </w:rPr>
        <w:t xml:space="preserve">for </w:t>
      </w:r>
      <w:r w:rsidRPr="00AC690E">
        <w:rPr>
          <w:sz w:val="24"/>
          <w:szCs w:val="24"/>
        </w:rPr>
        <w:t>CO2-H2O -H2/CH4</w:t>
      </w:r>
      <w:r>
        <w:rPr>
          <w:sz w:val="24"/>
          <w:szCs w:val="24"/>
        </w:rPr>
        <w:t xml:space="preserve"> (SOVs)</w:t>
      </w:r>
    </w:p>
    <w:p w:rsidR="00022D8C" w:rsidRDefault="00AC690E" w:rsidP="00022D8C">
      <w:pPr>
        <w:pStyle w:val="ListParagraph"/>
        <w:numPr>
          <w:ilvl w:val="0"/>
          <w:numId w:val="9"/>
        </w:numPr>
        <w:jc w:val="both"/>
        <w:rPr>
          <w:sz w:val="24"/>
          <w:szCs w:val="24"/>
        </w:rPr>
      </w:pPr>
      <w:r>
        <w:rPr>
          <w:sz w:val="24"/>
          <w:szCs w:val="24"/>
        </w:rPr>
        <w:t xml:space="preserve">ECLSS </w:t>
      </w:r>
      <w:r w:rsidR="00022D8C" w:rsidRPr="00022D8C">
        <w:rPr>
          <w:sz w:val="24"/>
          <w:szCs w:val="24"/>
        </w:rPr>
        <w:t>Pressure Control Assembly</w:t>
      </w:r>
      <w:r>
        <w:rPr>
          <w:sz w:val="24"/>
          <w:szCs w:val="24"/>
        </w:rPr>
        <w:t xml:space="preserve"> (PCA) which includes:</w:t>
      </w:r>
    </w:p>
    <w:p w:rsidR="00AC690E" w:rsidRDefault="00AC690E" w:rsidP="00AC690E">
      <w:pPr>
        <w:pStyle w:val="ListParagraph"/>
        <w:numPr>
          <w:ilvl w:val="1"/>
          <w:numId w:val="9"/>
        </w:numPr>
        <w:jc w:val="both"/>
        <w:rPr>
          <w:sz w:val="24"/>
          <w:szCs w:val="24"/>
        </w:rPr>
      </w:pPr>
      <w:r w:rsidRPr="00AC690E">
        <w:rPr>
          <w:sz w:val="24"/>
          <w:szCs w:val="24"/>
        </w:rPr>
        <w:t>Venting valv</w:t>
      </w:r>
      <w:r>
        <w:rPr>
          <w:sz w:val="24"/>
          <w:szCs w:val="24"/>
        </w:rPr>
        <w:t xml:space="preserve">e for vestibule press/depress, </w:t>
      </w:r>
    </w:p>
    <w:p w:rsidR="00AC690E" w:rsidRDefault="00AC690E" w:rsidP="00AC690E">
      <w:pPr>
        <w:pStyle w:val="ListParagraph"/>
        <w:numPr>
          <w:ilvl w:val="1"/>
          <w:numId w:val="9"/>
        </w:numPr>
        <w:jc w:val="both"/>
        <w:rPr>
          <w:sz w:val="24"/>
          <w:szCs w:val="24"/>
        </w:rPr>
      </w:pPr>
      <w:r w:rsidRPr="00AC690E">
        <w:rPr>
          <w:sz w:val="24"/>
          <w:szCs w:val="24"/>
        </w:rPr>
        <w:t xml:space="preserve">Remote Control Vestibule  Depres valve, </w:t>
      </w:r>
    </w:p>
    <w:p w:rsidR="00AC690E" w:rsidRDefault="00AC690E" w:rsidP="00AC690E">
      <w:pPr>
        <w:pStyle w:val="ListParagraph"/>
        <w:numPr>
          <w:ilvl w:val="1"/>
          <w:numId w:val="9"/>
        </w:numPr>
        <w:jc w:val="both"/>
        <w:rPr>
          <w:sz w:val="24"/>
          <w:szCs w:val="24"/>
        </w:rPr>
      </w:pPr>
      <w:r w:rsidRPr="00AC690E">
        <w:rPr>
          <w:sz w:val="24"/>
          <w:szCs w:val="24"/>
        </w:rPr>
        <w:t>Remote</w:t>
      </w:r>
      <w:r>
        <w:rPr>
          <w:sz w:val="24"/>
          <w:szCs w:val="24"/>
        </w:rPr>
        <w:t xml:space="preserve"> Control Vestibule  press valve</w:t>
      </w:r>
    </w:p>
    <w:p w:rsidR="00C57E52" w:rsidRPr="00AC690E" w:rsidRDefault="00AC690E" w:rsidP="007801E0">
      <w:pPr>
        <w:jc w:val="both"/>
        <w:rPr>
          <w:b/>
          <w:sz w:val="24"/>
          <w:szCs w:val="24"/>
        </w:rPr>
      </w:pPr>
      <w:r w:rsidRPr="00AC690E">
        <w:rPr>
          <w:b/>
          <w:sz w:val="24"/>
          <w:szCs w:val="24"/>
        </w:rPr>
        <w:t>H</w:t>
      </w:r>
      <w:r>
        <w:rPr>
          <w:b/>
          <w:sz w:val="24"/>
          <w:szCs w:val="24"/>
        </w:rPr>
        <w:t xml:space="preserve">arness </w:t>
      </w:r>
    </w:p>
    <w:p w:rsidR="00AC690E" w:rsidRPr="00AC690E" w:rsidRDefault="00AC690E" w:rsidP="00AC690E">
      <w:pPr>
        <w:pStyle w:val="ListParagraph"/>
        <w:numPr>
          <w:ilvl w:val="0"/>
          <w:numId w:val="11"/>
        </w:numPr>
        <w:jc w:val="both"/>
        <w:rPr>
          <w:sz w:val="24"/>
          <w:szCs w:val="24"/>
        </w:rPr>
      </w:pPr>
      <w:r w:rsidRPr="00AC690E">
        <w:rPr>
          <w:sz w:val="24"/>
          <w:szCs w:val="24"/>
        </w:rPr>
        <w:t>Harness (HRNSS)</w:t>
      </w:r>
    </w:p>
    <w:p w:rsidR="00AC690E" w:rsidRDefault="00AC690E" w:rsidP="00AC690E">
      <w:pPr>
        <w:jc w:val="both"/>
        <w:rPr>
          <w:b/>
          <w:sz w:val="24"/>
          <w:szCs w:val="24"/>
        </w:rPr>
      </w:pPr>
      <w:r w:rsidRPr="00AC690E">
        <w:rPr>
          <w:b/>
          <w:sz w:val="24"/>
          <w:szCs w:val="24"/>
        </w:rPr>
        <w:lastRenderedPageBreak/>
        <w:t xml:space="preserve"> Crew Systems</w:t>
      </w:r>
    </w:p>
    <w:p w:rsidR="00AC690E" w:rsidRPr="00AC690E" w:rsidRDefault="00FE291E" w:rsidP="00FE291E">
      <w:pPr>
        <w:pStyle w:val="ListParagraph"/>
        <w:numPr>
          <w:ilvl w:val="0"/>
          <w:numId w:val="11"/>
        </w:numPr>
        <w:jc w:val="both"/>
        <w:rPr>
          <w:sz w:val="24"/>
          <w:szCs w:val="24"/>
        </w:rPr>
      </w:pPr>
      <w:r w:rsidRPr="00FE291E">
        <w:rPr>
          <w:sz w:val="24"/>
          <w:szCs w:val="24"/>
        </w:rPr>
        <w:t>Intra-Vehicular Robotics</w:t>
      </w:r>
      <w:r w:rsidR="00AC690E" w:rsidRPr="00AC690E">
        <w:rPr>
          <w:sz w:val="24"/>
          <w:szCs w:val="24"/>
        </w:rPr>
        <w:t xml:space="preserve"> </w:t>
      </w:r>
      <w:r>
        <w:rPr>
          <w:sz w:val="24"/>
          <w:szCs w:val="24"/>
        </w:rPr>
        <w:t>(IVR)</w:t>
      </w:r>
    </w:p>
    <w:p w:rsidR="00AC690E" w:rsidRPr="00FE291E" w:rsidRDefault="00FE291E" w:rsidP="00AC690E">
      <w:pPr>
        <w:jc w:val="both"/>
        <w:rPr>
          <w:b/>
          <w:sz w:val="24"/>
          <w:szCs w:val="24"/>
        </w:rPr>
      </w:pPr>
      <w:r w:rsidRPr="00FE291E">
        <w:rPr>
          <w:b/>
          <w:sz w:val="24"/>
          <w:szCs w:val="24"/>
        </w:rPr>
        <w:t>Software</w:t>
      </w:r>
    </w:p>
    <w:p w:rsidR="00FE291E" w:rsidRDefault="00FE291E" w:rsidP="00FE291E">
      <w:pPr>
        <w:pStyle w:val="ListParagraph"/>
        <w:numPr>
          <w:ilvl w:val="0"/>
          <w:numId w:val="11"/>
        </w:numPr>
        <w:jc w:val="both"/>
        <w:rPr>
          <w:sz w:val="24"/>
          <w:szCs w:val="24"/>
        </w:rPr>
      </w:pPr>
      <w:r w:rsidRPr="00FE291E">
        <w:rPr>
          <w:sz w:val="24"/>
          <w:szCs w:val="24"/>
        </w:rPr>
        <w:t xml:space="preserve">Application Software </w:t>
      </w:r>
      <w:r>
        <w:rPr>
          <w:sz w:val="24"/>
          <w:szCs w:val="24"/>
        </w:rPr>
        <w:t>(ASW)</w:t>
      </w:r>
    </w:p>
    <w:p w:rsidR="00FE291E" w:rsidRDefault="00FE291E" w:rsidP="00FE291E">
      <w:pPr>
        <w:pStyle w:val="ListParagraph"/>
        <w:numPr>
          <w:ilvl w:val="0"/>
          <w:numId w:val="11"/>
        </w:numPr>
        <w:jc w:val="both"/>
        <w:rPr>
          <w:sz w:val="24"/>
          <w:szCs w:val="24"/>
        </w:rPr>
      </w:pPr>
      <w:r>
        <w:rPr>
          <w:sz w:val="24"/>
          <w:szCs w:val="24"/>
        </w:rPr>
        <w:t>Independent Software Verification &amp; Validation (ISVV)</w:t>
      </w:r>
    </w:p>
    <w:p w:rsidR="00FE291E" w:rsidRPr="005E2A84" w:rsidRDefault="00FE291E" w:rsidP="00FE291E">
      <w:pPr>
        <w:jc w:val="both"/>
        <w:rPr>
          <w:b/>
          <w:sz w:val="24"/>
          <w:szCs w:val="24"/>
        </w:rPr>
      </w:pPr>
      <w:r w:rsidRPr="005E2A84">
        <w:rPr>
          <w:b/>
          <w:sz w:val="24"/>
          <w:szCs w:val="24"/>
        </w:rPr>
        <w:t>FGSE</w:t>
      </w:r>
    </w:p>
    <w:p w:rsidR="005E2A84" w:rsidRPr="005E2A84" w:rsidRDefault="005E2A84" w:rsidP="005E2A84">
      <w:pPr>
        <w:pStyle w:val="ListParagraph"/>
        <w:numPr>
          <w:ilvl w:val="0"/>
          <w:numId w:val="19"/>
        </w:numPr>
        <w:jc w:val="both"/>
        <w:rPr>
          <w:sz w:val="24"/>
          <w:szCs w:val="24"/>
        </w:rPr>
      </w:pPr>
      <w:r w:rsidRPr="005E2A84">
        <w:rPr>
          <w:sz w:val="24"/>
          <w:szCs w:val="24"/>
        </w:rPr>
        <w:t xml:space="preserve">Nitrogen/Heliun Pressurization system </w:t>
      </w:r>
    </w:p>
    <w:p w:rsidR="005E2A84" w:rsidRPr="005E2A84" w:rsidRDefault="005E2A84" w:rsidP="005E2A84">
      <w:pPr>
        <w:pStyle w:val="ListParagraph"/>
        <w:numPr>
          <w:ilvl w:val="0"/>
          <w:numId w:val="19"/>
        </w:numPr>
        <w:jc w:val="both"/>
        <w:rPr>
          <w:sz w:val="24"/>
          <w:szCs w:val="24"/>
        </w:rPr>
      </w:pPr>
      <w:r w:rsidRPr="005E2A84">
        <w:rPr>
          <w:sz w:val="24"/>
          <w:szCs w:val="24"/>
        </w:rPr>
        <w:t xml:space="preserve">External Radiators circuit filling, conditioning &amp; circulation system  </w:t>
      </w:r>
    </w:p>
    <w:p w:rsidR="005E2A84" w:rsidRPr="005E2A84" w:rsidRDefault="005E2A84" w:rsidP="005E2A84">
      <w:pPr>
        <w:pStyle w:val="ListParagraph"/>
        <w:numPr>
          <w:ilvl w:val="0"/>
          <w:numId w:val="19"/>
        </w:numPr>
        <w:jc w:val="both"/>
        <w:rPr>
          <w:sz w:val="24"/>
          <w:szCs w:val="24"/>
        </w:rPr>
      </w:pPr>
      <w:r w:rsidRPr="005E2A84">
        <w:rPr>
          <w:sz w:val="24"/>
          <w:szCs w:val="24"/>
        </w:rPr>
        <w:t>Water/Clycol  Internal circuit filling, conditioning &amp; circulation system</w:t>
      </w:r>
    </w:p>
    <w:p w:rsidR="006F78B4" w:rsidRDefault="00FE291E" w:rsidP="00FE291E">
      <w:pPr>
        <w:jc w:val="both"/>
        <w:rPr>
          <w:b/>
          <w:sz w:val="24"/>
          <w:szCs w:val="24"/>
        </w:rPr>
      </w:pPr>
      <w:r w:rsidRPr="005E2A84">
        <w:rPr>
          <w:b/>
          <w:sz w:val="24"/>
          <w:szCs w:val="24"/>
        </w:rPr>
        <w:t xml:space="preserve">EGSE </w:t>
      </w:r>
    </w:p>
    <w:p w:rsidR="00E822A7" w:rsidRPr="00E822A7" w:rsidRDefault="00FA0983" w:rsidP="00E822A7">
      <w:pPr>
        <w:pStyle w:val="ListParagraph"/>
        <w:numPr>
          <w:ilvl w:val="0"/>
          <w:numId w:val="21"/>
        </w:numPr>
        <w:jc w:val="both"/>
        <w:rPr>
          <w:sz w:val="24"/>
          <w:szCs w:val="24"/>
        </w:rPr>
      </w:pPr>
      <w:r w:rsidRPr="00E822A7">
        <w:rPr>
          <w:sz w:val="24"/>
          <w:szCs w:val="24"/>
        </w:rPr>
        <w:t xml:space="preserve">EPS Power SCOE </w:t>
      </w:r>
      <w:r w:rsidR="006F78B4" w:rsidRPr="00E822A7">
        <w:rPr>
          <w:sz w:val="24"/>
          <w:szCs w:val="24"/>
        </w:rPr>
        <w:t>–</w:t>
      </w:r>
      <w:r w:rsidRPr="00E822A7">
        <w:rPr>
          <w:sz w:val="24"/>
          <w:szCs w:val="24"/>
        </w:rPr>
        <w:t xml:space="preserve"> </w:t>
      </w:r>
      <w:r w:rsidR="006F78B4" w:rsidRPr="00E822A7">
        <w:rPr>
          <w:sz w:val="24"/>
          <w:szCs w:val="24"/>
        </w:rPr>
        <w:t xml:space="preserve">EPS </w:t>
      </w:r>
      <w:r w:rsidR="005E2A84" w:rsidRPr="00E822A7">
        <w:rPr>
          <w:sz w:val="24"/>
          <w:szCs w:val="24"/>
        </w:rPr>
        <w:t>SCOE Load Simulator -</w:t>
      </w:r>
    </w:p>
    <w:p w:rsidR="00823034" w:rsidRPr="006F78B4" w:rsidRDefault="005E2A84" w:rsidP="006F78B4">
      <w:pPr>
        <w:pStyle w:val="ListParagraph"/>
        <w:numPr>
          <w:ilvl w:val="0"/>
          <w:numId w:val="17"/>
        </w:numPr>
        <w:jc w:val="both"/>
        <w:rPr>
          <w:sz w:val="24"/>
          <w:szCs w:val="24"/>
        </w:rPr>
      </w:pPr>
      <w:r w:rsidRPr="006F78B4">
        <w:rPr>
          <w:sz w:val="24"/>
          <w:szCs w:val="24"/>
        </w:rPr>
        <w:t xml:space="preserve">CCS </w:t>
      </w:r>
    </w:p>
    <w:p w:rsidR="005E2A84" w:rsidRPr="00E822A7" w:rsidRDefault="005E2A84" w:rsidP="005E2A84">
      <w:pPr>
        <w:pStyle w:val="ListParagraph"/>
        <w:numPr>
          <w:ilvl w:val="0"/>
          <w:numId w:val="17"/>
        </w:numPr>
        <w:jc w:val="both"/>
        <w:rPr>
          <w:sz w:val="24"/>
          <w:szCs w:val="24"/>
          <w:lang w:val="it-IT"/>
        </w:rPr>
      </w:pPr>
      <w:r w:rsidRPr="00E822A7">
        <w:rPr>
          <w:sz w:val="24"/>
          <w:szCs w:val="24"/>
          <w:lang w:val="it-IT"/>
        </w:rPr>
        <w:t xml:space="preserve">DH SCOE (1553+SPW+RS4322) </w:t>
      </w:r>
      <w:r w:rsidR="00E822A7" w:rsidRPr="00E822A7">
        <w:rPr>
          <w:sz w:val="24"/>
          <w:szCs w:val="24"/>
          <w:lang w:val="it-IT"/>
        </w:rPr>
        <w:t>+I/O SCOE</w:t>
      </w:r>
    </w:p>
    <w:p w:rsidR="00E822A7" w:rsidRPr="00E822A7" w:rsidRDefault="00E822A7" w:rsidP="00E822A7">
      <w:pPr>
        <w:pStyle w:val="ListParagraph"/>
        <w:numPr>
          <w:ilvl w:val="0"/>
          <w:numId w:val="17"/>
        </w:numPr>
        <w:jc w:val="both"/>
        <w:rPr>
          <w:sz w:val="24"/>
          <w:szCs w:val="24"/>
        </w:rPr>
      </w:pPr>
      <w:r w:rsidRPr="00E822A7">
        <w:rPr>
          <w:sz w:val="24"/>
          <w:szCs w:val="24"/>
        </w:rPr>
        <w:t xml:space="preserve">TCS SCOE </w:t>
      </w:r>
    </w:p>
    <w:p w:rsidR="00E822A7" w:rsidRPr="00E822A7" w:rsidRDefault="00E822A7" w:rsidP="00E822A7">
      <w:pPr>
        <w:pStyle w:val="ListParagraph"/>
        <w:numPr>
          <w:ilvl w:val="0"/>
          <w:numId w:val="17"/>
        </w:numPr>
        <w:jc w:val="both"/>
        <w:rPr>
          <w:sz w:val="24"/>
          <w:szCs w:val="24"/>
        </w:rPr>
      </w:pPr>
      <w:r w:rsidRPr="00E822A7">
        <w:rPr>
          <w:sz w:val="24"/>
          <w:szCs w:val="24"/>
        </w:rPr>
        <w:t>ECLSS SCOE</w:t>
      </w:r>
    </w:p>
    <w:p w:rsidR="00A37441" w:rsidRPr="00A37441" w:rsidRDefault="00A37441" w:rsidP="00A37441">
      <w:pPr>
        <w:pStyle w:val="ListParagraph"/>
        <w:jc w:val="both"/>
        <w:rPr>
          <w:sz w:val="24"/>
          <w:szCs w:val="24"/>
        </w:rPr>
      </w:pPr>
    </w:p>
    <w:p w:rsidR="00FE291E" w:rsidRPr="00FA0983" w:rsidRDefault="00FE291E" w:rsidP="00FA0983">
      <w:pPr>
        <w:jc w:val="both"/>
        <w:rPr>
          <w:b/>
          <w:sz w:val="24"/>
          <w:szCs w:val="24"/>
        </w:rPr>
      </w:pPr>
      <w:r w:rsidRPr="00FA0983">
        <w:rPr>
          <w:b/>
          <w:sz w:val="24"/>
          <w:szCs w:val="24"/>
        </w:rPr>
        <w:t>MGSE Batch 1</w:t>
      </w:r>
    </w:p>
    <w:p w:rsidR="00FA0983" w:rsidRPr="00FA0983" w:rsidRDefault="00FA0983" w:rsidP="00FA0983">
      <w:pPr>
        <w:pStyle w:val="ListParagraph"/>
        <w:numPr>
          <w:ilvl w:val="0"/>
          <w:numId w:val="13"/>
        </w:numPr>
        <w:jc w:val="both"/>
        <w:rPr>
          <w:sz w:val="24"/>
          <w:szCs w:val="24"/>
        </w:rPr>
      </w:pPr>
      <w:r w:rsidRPr="00FA0983">
        <w:rPr>
          <w:sz w:val="24"/>
          <w:szCs w:val="24"/>
        </w:rPr>
        <w:t xml:space="preserve">Module (SM side) Handling/Integration Lower Main Ring (HMR) </w:t>
      </w:r>
    </w:p>
    <w:p w:rsidR="00FA0983" w:rsidRDefault="00FA0983" w:rsidP="00FA0983">
      <w:pPr>
        <w:pStyle w:val="ListParagraph"/>
        <w:numPr>
          <w:ilvl w:val="0"/>
          <w:numId w:val="13"/>
        </w:numPr>
        <w:jc w:val="both"/>
        <w:rPr>
          <w:sz w:val="24"/>
          <w:szCs w:val="24"/>
        </w:rPr>
      </w:pPr>
      <w:r w:rsidRPr="00FA0983">
        <w:rPr>
          <w:sz w:val="24"/>
          <w:szCs w:val="24"/>
        </w:rPr>
        <w:t xml:space="preserve">Module Handling/Integration Intermediate Ring (HIR) </w:t>
      </w:r>
    </w:p>
    <w:p w:rsidR="00FA0983" w:rsidRDefault="00FA0983" w:rsidP="00FA0983">
      <w:pPr>
        <w:pStyle w:val="ListParagraph"/>
        <w:numPr>
          <w:ilvl w:val="0"/>
          <w:numId w:val="13"/>
        </w:numPr>
        <w:jc w:val="both"/>
        <w:rPr>
          <w:sz w:val="24"/>
          <w:szCs w:val="24"/>
        </w:rPr>
      </w:pPr>
      <w:r w:rsidRPr="00FA0983">
        <w:rPr>
          <w:sz w:val="24"/>
          <w:szCs w:val="24"/>
        </w:rPr>
        <w:t>Handling/Integration Upper Ring (HUR)</w:t>
      </w:r>
    </w:p>
    <w:p w:rsidR="00FA0983" w:rsidRDefault="00FA0983" w:rsidP="00FA0983">
      <w:pPr>
        <w:pStyle w:val="ListParagraph"/>
        <w:numPr>
          <w:ilvl w:val="0"/>
          <w:numId w:val="13"/>
        </w:numPr>
        <w:jc w:val="both"/>
        <w:rPr>
          <w:sz w:val="24"/>
          <w:szCs w:val="24"/>
        </w:rPr>
      </w:pPr>
      <w:r w:rsidRPr="00FA0983">
        <w:rPr>
          <w:sz w:val="24"/>
          <w:szCs w:val="24"/>
        </w:rPr>
        <w:t>Top Cone Handling/Integration Lifting Device (CHD)</w:t>
      </w:r>
    </w:p>
    <w:p w:rsidR="00FA0983" w:rsidRDefault="00FA0983" w:rsidP="00FA0983">
      <w:pPr>
        <w:pStyle w:val="ListParagraph"/>
        <w:numPr>
          <w:ilvl w:val="0"/>
          <w:numId w:val="13"/>
        </w:numPr>
        <w:jc w:val="both"/>
        <w:rPr>
          <w:sz w:val="24"/>
          <w:szCs w:val="24"/>
        </w:rPr>
      </w:pPr>
      <w:r w:rsidRPr="00FA0983">
        <w:rPr>
          <w:sz w:val="24"/>
          <w:szCs w:val="24"/>
        </w:rPr>
        <w:t>LOP-G Vertical/Horizontal Lifting Brackets (VHLB)</w:t>
      </w:r>
    </w:p>
    <w:p w:rsidR="00FA0983" w:rsidRDefault="00FA0983" w:rsidP="00FA0983">
      <w:pPr>
        <w:pStyle w:val="ListParagraph"/>
        <w:numPr>
          <w:ilvl w:val="0"/>
          <w:numId w:val="13"/>
        </w:numPr>
        <w:jc w:val="both"/>
        <w:rPr>
          <w:sz w:val="24"/>
          <w:szCs w:val="24"/>
        </w:rPr>
      </w:pPr>
      <w:r w:rsidRPr="00FA0983">
        <w:rPr>
          <w:sz w:val="24"/>
          <w:szCs w:val="24"/>
        </w:rPr>
        <w:t>LOP-G Vertical Lifting Device (LVLD)</w:t>
      </w:r>
    </w:p>
    <w:p w:rsidR="00FA0983" w:rsidRDefault="00FA0983" w:rsidP="00FA0983">
      <w:pPr>
        <w:pStyle w:val="ListParagraph"/>
        <w:numPr>
          <w:ilvl w:val="0"/>
          <w:numId w:val="13"/>
        </w:numPr>
        <w:jc w:val="both"/>
        <w:rPr>
          <w:sz w:val="24"/>
          <w:szCs w:val="24"/>
        </w:rPr>
      </w:pPr>
      <w:r w:rsidRPr="00FA0983">
        <w:rPr>
          <w:sz w:val="24"/>
          <w:szCs w:val="24"/>
        </w:rPr>
        <w:t>LOP-G Horizontal Lifting Device (LHLD)</w:t>
      </w:r>
    </w:p>
    <w:p w:rsidR="00FA0983" w:rsidRDefault="00FA0983" w:rsidP="00FA0983">
      <w:pPr>
        <w:pStyle w:val="ListParagraph"/>
        <w:numPr>
          <w:ilvl w:val="0"/>
          <w:numId w:val="13"/>
        </w:numPr>
        <w:jc w:val="both"/>
        <w:rPr>
          <w:sz w:val="24"/>
          <w:szCs w:val="24"/>
        </w:rPr>
      </w:pPr>
      <w:r w:rsidRPr="00FA0983">
        <w:rPr>
          <w:sz w:val="24"/>
          <w:szCs w:val="24"/>
        </w:rPr>
        <w:t>Internal Movable Access Plate (IAP)</w:t>
      </w:r>
    </w:p>
    <w:p w:rsidR="00FA0983" w:rsidRDefault="00FA0983" w:rsidP="00FA0983">
      <w:pPr>
        <w:pStyle w:val="ListParagraph"/>
        <w:numPr>
          <w:ilvl w:val="0"/>
          <w:numId w:val="13"/>
        </w:numPr>
        <w:jc w:val="both"/>
        <w:rPr>
          <w:sz w:val="24"/>
          <w:szCs w:val="24"/>
        </w:rPr>
      </w:pPr>
      <w:r w:rsidRPr="00FA0983">
        <w:rPr>
          <w:sz w:val="24"/>
          <w:szCs w:val="24"/>
        </w:rPr>
        <w:t>Hatches opening kit (one for each radial and axial)</w:t>
      </w:r>
      <w:r>
        <w:rPr>
          <w:sz w:val="24"/>
          <w:szCs w:val="24"/>
        </w:rPr>
        <w:t>(HOK)</w:t>
      </w:r>
    </w:p>
    <w:p w:rsidR="00FA0983" w:rsidRDefault="00FA0983" w:rsidP="00FA0983">
      <w:pPr>
        <w:pStyle w:val="ListParagraph"/>
        <w:numPr>
          <w:ilvl w:val="0"/>
          <w:numId w:val="13"/>
        </w:numPr>
        <w:jc w:val="both"/>
        <w:rPr>
          <w:sz w:val="24"/>
          <w:szCs w:val="24"/>
        </w:rPr>
      </w:pPr>
      <w:r w:rsidRPr="00FA0983">
        <w:rPr>
          <w:sz w:val="24"/>
          <w:szCs w:val="24"/>
        </w:rPr>
        <w:t>Access/working platform (AP)</w:t>
      </w:r>
    </w:p>
    <w:p w:rsidR="00FA0983" w:rsidRDefault="00FA0983" w:rsidP="00FA0983">
      <w:pPr>
        <w:pStyle w:val="ListParagraph"/>
        <w:numPr>
          <w:ilvl w:val="0"/>
          <w:numId w:val="13"/>
        </w:numPr>
        <w:jc w:val="both"/>
        <w:rPr>
          <w:sz w:val="24"/>
          <w:szCs w:val="24"/>
        </w:rPr>
      </w:pPr>
      <w:r w:rsidRPr="00FA0983">
        <w:rPr>
          <w:sz w:val="24"/>
          <w:szCs w:val="24"/>
        </w:rPr>
        <w:t>Integration &amp; Rotating Stand (IRS)</w:t>
      </w:r>
    </w:p>
    <w:p w:rsidR="00FA0983" w:rsidRPr="00FA0983" w:rsidRDefault="005E2A84" w:rsidP="00FA0983">
      <w:pPr>
        <w:pStyle w:val="ListParagraph"/>
        <w:numPr>
          <w:ilvl w:val="0"/>
          <w:numId w:val="13"/>
        </w:numPr>
        <w:jc w:val="both"/>
        <w:rPr>
          <w:sz w:val="24"/>
          <w:szCs w:val="24"/>
        </w:rPr>
      </w:pPr>
      <w:r>
        <w:rPr>
          <w:sz w:val="24"/>
          <w:szCs w:val="24"/>
        </w:rPr>
        <w:t>1</w:t>
      </w:r>
      <w:r w:rsidR="00FA0983" w:rsidRPr="00FA0983">
        <w:rPr>
          <w:sz w:val="24"/>
          <w:szCs w:val="24"/>
        </w:rPr>
        <w:t xml:space="preserve"> g floor</w:t>
      </w:r>
      <w:r w:rsidR="00FA0983">
        <w:rPr>
          <w:sz w:val="24"/>
          <w:szCs w:val="24"/>
        </w:rPr>
        <w:t xml:space="preserve"> (1GF)</w:t>
      </w:r>
    </w:p>
    <w:p w:rsidR="00FE291E" w:rsidRPr="00FA0983" w:rsidRDefault="00FE291E" w:rsidP="00FE291E">
      <w:pPr>
        <w:jc w:val="both"/>
        <w:rPr>
          <w:b/>
          <w:sz w:val="24"/>
          <w:szCs w:val="24"/>
        </w:rPr>
      </w:pPr>
      <w:r w:rsidRPr="00FA0983">
        <w:rPr>
          <w:b/>
          <w:sz w:val="24"/>
          <w:szCs w:val="24"/>
        </w:rPr>
        <w:t>MGSE Batch 2</w:t>
      </w:r>
    </w:p>
    <w:p w:rsidR="00FA0983" w:rsidRDefault="00FA0983" w:rsidP="00FA0983">
      <w:pPr>
        <w:pStyle w:val="ListParagraph"/>
        <w:numPr>
          <w:ilvl w:val="0"/>
          <w:numId w:val="15"/>
        </w:numPr>
        <w:jc w:val="both"/>
        <w:rPr>
          <w:sz w:val="24"/>
          <w:szCs w:val="24"/>
        </w:rPr>
      </w:pPr>
      <w:r w:rsidRPr="00FA0983">
        <w:rPr>
          <w:sz w:val="24"/>
          <w:szCs w:val="24"/>
        </w:rPr>
        <w:t>Spacecraft Transport Container (STC)</w:t>
      </w:r>
    </w:p>
    <w:p w:rsidR="00FA0983" w:rsidRDefault="00FA0983" w:rsidP="00FA0983">
      <w:pPr>
        <w:pStyle w:val="ListParagraph"/>
        <w:numPr>
          <w:ilvl w:val="0"/>
          <w:numId w:val="15"/>
        </w:numPr>
        <w:jc w:val="both"/>
        <w:rPr>
          <w:sz w:val="24"/>
          <w:szCs w:val="24"/>
        </w:rPr>
      </w:pPr>
      <w:r w:rsidRPr="00FA0983">
        <w:rPr>
          <w:sz w:val="24"/>
          <w:szCs w:val="24"/>
        </w:rPr>
        <w:t>EDU - Easy mover</w:t>
      </w:r>
    </w:p>
    <w:p w:rsidR="00FA0983" w:rsidRDefault="00FA0983" w:rsidP="00FA0983">
      <w:pPr>
        <w:pStyle w:val="ListParagraph"/>
        <w:numPr>
          <w:ilvl w:val="0"/>
          <w:numId w:val="15"/>
        </w:numPr>
        <w:jc w:val="both"/>
        <w:rPr>
          <w:sz w:val="24"/>
          <w:szCs w:val="24"/>
        </w:rPr>
      </w:pPr>
      <w:r w:rsidRPr="00FA0983">
        <w:rPr>
          <w:sz w:val="24"/>
          <w:szCs w:val="24"/>
        </w:rPr>
        <w:t>Movable Access Platform (MAP)</w:t>
      </w:r>
    </w:p>
    <w:p w:rsidR="00FA0983" w:rsidRDefault="00FA0983" w:rsidP="00FA0983">
      <w:pPr>
        <w:pStyle w:val="ListParagraph"/>
        <w:numPr>
          <w:ilvl w:val="0"/>
          <w:numId w:val="15"/>
        </w:numPr>
        <w:jc w:val="both"/>
        <w:rPr>
          <w:sz w:val="24"/>
          <w:szCs w:val="24"/>
        </w:rPr>
      </w:pPr>
      <w:r w:rsidRPr="00FA0983">
        <w:rPr>
          <w:sz w:val="24"/>
          <w:szCs w:val="24"/>
        </w:rPr>
        <w:t>LOP-G Tilting Trolley (LTT)</w:t>
      </w:r>
    </w:p>
    <w:p w:rsidR="00A37441" w:rsidRPr="00A37441" w:rsidRDefault="00A37441" w:rsidP="00A37441">
      <w:pPr>
        <w:jc w:val="both"/>
        <w:rPr>
          <w:b/>
          <w:sz w:val="24"/>
          <w:szCs w:val="24"/>
        </w:rPr>
      </w:pPr>
      <w:r w:rsidRPr="00A37441">
        <w:rPr>
          <w:b/>
          <w:sz w:val="24"/>
          <w:szCs w:val="24"/>
        </w:rPr>
        <w:lastRenderedPageBreak/>
        <w:t>Power Equipment</w:t>
      </w:r>
    </w:p>
    <w:p w:rsidR="00A37441" w:rsidRPr="00A37441" w:rsidRDefault="00A37441" w:rsidP="00A37441">
      <w:pPr>
        <w:pStyle w:val="ListParagraph"/>
        <w:ind w:hanging="294"/>
        <w:jc w:val="both"/>
        <w:rPr>
          <w:sz w:val="24"/>
          <w:szCs w:val="24"/>
        </w:rPr>
      </w:pPr>
      <w:r w:rsidRPr="00A37441">
        <w:rPr>
          <w:sz w:val="24"/>
          <w:szCs w:val="24"/>
        </w:rPr>
        <w:t>•</w:t>
      </w:r>
      <w:r w:rsidRPr="00A37441">
        <w:rPr>
          <w:sz w:val="24"/>
          <w:szCs w:val="24"/>
        </w:rPr>
        <w:tab/>
        <w:t>Secondary DC to DC Converter Unit (S-DDCU)</w:t>
      </w:r>
    </w:p>
    <w:p w:rsidR="00A37441" w:rsidRPr="00A37441" w:rsidRDefault="00A37441" w:rsidP="00A37441">
      <w:pPr>
        <w:pStyle w:val="ListParagraph"/>
        <w:ind w:left="426"/>
        <w:jc w:val="both"/>
        <w:rPr>
          <w:sz w:val="24"/>
          <w:szCs w:val="24"/>
        </w:rPr>
      </w:pPr>
      <w:r w:rsidRPr="00A37441">
        <w:rPr>
          <w:sz w:val="24"/>
          <w:szCs w:val="24"/>
        </w:rPr>
        <w:t>•</w:t>
      </w:r>
      <w:r w:rsidRPr="00A37441">
        <w:rPr>
          <w:sz w:val="24"/>
          <w:szCs w:val="24"/>
        </w:rPr>
        <w:tab/>
        <w:t>Main Bus Switching Unit (MBSU)</w:t>
      </w:r>
    </w:p>
    <w:p w:rsidR="00A37441" w:rsidRPr="00A37441" w:rsidRDefault="00A37441" w:rsidP="00A37441">
      <w:pPr>
        <w:pStyle w:val="ListParagraph"/>
        <w:ind w:left="426"/>
        <w:jc w:val="both"/>
        <w:rPr>
          <w:sz w:val="24"/>
          <w:szCs w:val="24"/>
        </w:rPr>
      </w:pPr>
      <w:r w:rsidRPr="00A37441">
        <w:rPr>
          <w:sz w:val="24"/>
          <w:szCs w:val="24"/>
        </w:rPr>
        <w:t>•</w:t>
      </w:r>
      <w:r w:rsidRPr="00A37441">
        <w:rPr>
          <w:sz w:val="24"/>
          <w:szCs w:val="24"/>
        </w:rPr>
        <w:tab/>
        <w:t>Power Distribution Unit (PDU)</w:t>
      </w:r>
    </w:p>
    <w:p w:rsidR="00A37441" w:rsidRPr="00A37441" w:rsidRDefault="00A37441" w:rsidP="00A37441">
      <w:pPr>
        <w:pStyle w:val="ListParagraph"/>
        <w:ind w:left="426"/>
        <w:jc w:val="both"/>
        <w:rPr>
          <w:sz w:val="24"/>
          <w:szCs w:val="24"/>
        </w:rPr>
      </w:pPr>
      <w:r w:rsidRPr="00A37441">
        <w:rPr>
          <w:sz w:val="24"/>
          <w:szCs w:val="24"/>
        </w:rPr>
        <w:t>•</w:t>
      </w:r>
      <w:r w:rsidRPr="00A37441">
        <w:rPr>
          <w:sz w:val="24"/>
          <w:szCs w:val="24"/>
        </w:rPr>
        <w:tab/>
        <w:t>Portable Equipment Power Unit (PEP).</w:t>
      </w:r>
    </w:p>
    <w:p w:rsidR="00A37441" w:rsidRPr="00A37441" w:rsidRDefault="00A37441" w:rsidP="00A37441">
      <w:pPr>
        <w:pStyle w:val="ListParagraph"/>
        <w:ind w:left="426"/>
        <w:jc w:val="both"/>
        <w:rPr>
          <w:sz w:val="24"/>
          <w:szCs w:val="24"/>
        </w:rPr>
      </w:pPr>
      <w:r w:rsidRPr="00A37441">
        <w:rPr>
          <w:sz w:val="24"/>
          <w:szCs w:val="24"/>
        </w:rPr>
        <w:t>•</w:t>
      </w:r>
      <w:r w:rsidRPr="00A37441">
        <w:rPr>
          <w:sz w:val="24"/>
          <w:szCs w:val="24"/>
        </w:rPr>
        <w:tab/>
        <w:t>Docking DC to DC Converter Unit (D-DDCU)</w:t>
      </w:r>
    </w:p>
    <w:p w:rsidR="00A37441" w:rsidRPr="00A37441" w:rsidRDefault="00A37441" w:rsidP="00A37441">
      <w:pPr>
        <w:pStyle w:val="ListParagraph"/>
        <w:ind w:left="426"/>
        <w:jc w:val="both"/>
        <w:rPr>
          <w:sz w:val="24"/>
          <w:szCs w:val="24"/>
        </w:rPr>
      </w:pPr>
      <w:r w:rsidRPr="00A37441">
        <w:rPr>
          <w:sz w:val="24"/>
          <w:szCs w:val="24"/>
        </w:rPr>
        <w:t>•</w:t>
      </w:r>
      <w:r w:rsidRPr="00A37441">
        <w:rPr>
          <w:sz w:val="24"/>
          <w:szCs w:val="24"/>
        </w:rPr>
        <w:tab/>
        <w:t>Bidirectional DC to DC Converter Unit (B-DDCU)</w:t>
      </w:r>
    </w:p>
    <w:p w:rsidR="00520A0F" w:rsidRDefault="00A37441" w:rsidP="00A37441">
      <w:pPr>
        <w:pStyle w:val="ListParagraph"/>
        <w:ind w:left="426"/>
        <w:jc w:val="both"/>
        <w:rPr>
          <w:sz w:val="24"/>
          <w:szCs w:val="24"/>
        </w:rPr>
      </w:pPr>
      <w:r w:rsidRPr="00A37441">
        <w:rPr>
          <w:sz w:val="24"/>
          <w:szCs w:val="24"/>
        </w:rPr>
        <w:t>•</w:t>
      </w:r>
      <w:r w:rsidRPr="00A37441">
        <w:rPr>
          <w:sz w:val="24"/>
          <w:szCs w:val="24"/>
        </w:rPr>
        <w:tab/>
        <w:t>Battery Charge and Discharge Unit (BCDU)</w:t>
      </w:r>
    </w:p>
    <w:p w:rsidR="001B4BFA" w:rsidRDefault="001B4BFA" w:rsidP="001444DC">
      <w:pPr>
        <w:pStyle w:val="ListParagraph"/>
        <w:ind w:left="780"/>
        <w:jc w:val="both"/>
        <w:rPr>
          <w:sz w:val="24"/>
          <w:szCs w:val="24"/>
        </w:rPr>
      </w:pPr>
    </w:p>
    <w:p w:rsidR="001B4BFA" w:rsidRDefault="00FD507B" w:rsidP="001444DC">
      <w:pPr>
        <w:pStyle w:val="ListParagraph"/>
        <w:ind w:left="0"/>
        <w:jc w:val="both"/>
        <w:rPr>
          <w:sz w:val="24"/>
          <w:szCs w:val="24"/>
        </w:rPr>
      </w:pPr>
      <w:r w:rsidRPr="00FD507B">
        <w:rPr>
          <w:sz w:val="24"/>
          <w:szCs w:val="24"/>
        </w:rPr>
        <w:t>The non-exhaustive list above includes the planned procurements; some items may be grouped or, conversely further broken-down, to better suit the project needs and/or help achieving the geographical return and other Industrial policy requirements.</w:t>
      </w:r>
    </w:p>
    <w:p w:rsidR="001B4BFA" w:rsidRDefault="001B4BFA" w:rsidP="001444DC">
      <w:pPr>
        <w:pStyle w:val="ListParagraph"/>
        <w:ind w:left="780"/>
        <w:jc w:val="both"/>
        <w:rPr>
          <w:sz w:val="24"/>
          <w:szCs w:val="24"/>
        </w:rPr>
      </w:pPr>
    </w:p>
    <w:p w:rsidR="007801E0" w:rsidRPr="00DB1A2B" w:rsidRDefault="007801E0" w:rsidP="00DB1A2B">
      <w:pPr>
        <w:pStyle w:val="ListParagraph"/>
        <w:numPr>
          <w:ilvl w:val="0"/>
          <w:numId w:val="5"/>
        </w:numPr>
        <w:jc w:val="both"/>
        <w:rPr>
          <w:b/>
          <w:sz w:val="24"/>
          <w:szCs w:val="24"/>
          <w:lang w:val="en-US"/>
        </w:rPr>
      </w:pPr>
      <w:r w:rsidRPr="00DB1A2B">
        <w:rPr>
          <w:b/>
          <w:sz w:val="24"/>
          <w:szCs w:val="24"/>
          <w:lang w:val="en-US"/>
        </w:rPr>
        <w:t>P</w:t>
      </w:r>
      <w:r w:rsidR="002B656E" w:rsidRPr="00DB1A2B">
        <w:rPr>
          <w:b/>
          <w:sz w:val="24"/>
          <w:szCs w:val="24"/>
          <w:lang w:val="en-US"/>
        </w:rPr>
        <w:t xml:space="preserve">ERSONAL DATA PROTECTION </w:t>
      </w:r>
      <w:r w:rsidRPr="00DB1A2B">
        <w:rPr>
          <w:b/>
          <w:sz w:val="24"/>
          <w:szCs w:val="24"/>
          <w:lang w:val="en-US"/>
        </w:rPr>
        <w:t xml:space="preserve"> </w:t>
      </w:r>
    </w:p>
    <w:p w:rsidR="0062273C" w:rsidRPr="0056592E" w:rsidRDefault="0062273C" w:rsidP="0056592E">
      <w:pPr>
        <w:jc w:val="both"/>
        <w:rPr>
          <w:sz w:val="24"/>
          <w:szCs w:val="24"/>
        </w:rPr>
      </w:pPr>
      <w:r w:rsidRPr="0056592E">
        <w:rPr>
          <w:sz w:val="24"/>
          <w:szCs w:val="24"/>
        </w:rPr>
        <w:t xml:space="preserve">With respect to the personal data collected for the purposes indicated under this </w:t>
      </w:r>
      <w:r w:rsidR="00412D66">
        <w:rPr>
          <w:sz w:val="24"/>
          <w:szCs w:val="24"/>
        </w:rPr>
        <w:t>document,</w:t>
      </w:r>
      <w:r w:rsidRPr="0056592E">
        <w:rPr>
          <w:sz w:val="24"/>
          <w:szCs w:val="24"/>
        </w:rPr>
        <w:t xml:space="preserve"> please note that TAS</w:t>
      </w:r>
      <w:r w:rsidR="002B656E">
        <w:rPr>
          <w:sz w:val="24"/>
          <w:szCs w:val="24"/>
        </w:rPr>
        <w:t>-</w:t>
      </w:r>
      <w:r w:rsidR="00FD507B">
        <w:rPr>
          <w:sz w:val="24"/>
          <w:szCs w:val="24"/>
        </w:rPr>
        <w:t>Italy</w:t>
      </w:r>
      <w:r w:rsidR="00FD507B" w:rsidRPr="0056592E">
        <w:rPr>
          <w:sz w:val="24"/>
          <w:szCs w:val="24"/>
        </w:rPr>
        <w:t xml:space="preserve"> </w:t>
      </w:r>
      <w:r w:rsidRPr="0056592E">
        <w:rPr>
          <w:sz w:val="24"/>
          <w:szCs w:val="24"/>
        </w:rPr>
        <w:t>and ESA will act as separate Data Controllers as follows:</w:t>
      </w:r>
    </w:p>
    <w:p w:rsidR="0062273C" w:rsidRPr="0056592E" w:rsidRDefault="0062273C" w:rsidP="0056592E">
      <w:pPr>
        <w:jc w:val="both"/>
        <w:rPr>
          <w:sz w:val="24"/>
          <w:szCs w:val="24"/>
        </w:rPr>
      </w:pPr>
      <w:r w:rsidRPr="0056592E">
        <w:rPr>
          <w:sz w:val="24"/>
          <w:szCs w:val="24"/>
        </w:rPr>
        <w:t xml:space="preserve">For ESA: </w:t>
      </w:r>
    </w:p>
    <w:p w:rsidR="0062273C" w:rsidRPr="0056592E" w:rsidRDefault="0062273C" w:rsidP="00412D66">
      <w:pPr>
        <w:jc w:val="both"/>
        <w:rPr>
          <w:sz w:val="24"/>
          <w:szCs w:val="24"/>
        </w:rPr>
      </w:pPr>
      <w:r w:rsidRPr="0056592E">
        <w:rPr>
          <w:sz w:val="24"/>
          <w:szCs w:val="24"/>
        </w:rPr>
        <w:t xml:space="preserve">ESA will retain the forms submitted for the registrations for the duration necessary to fulfil the objectives of this Expression </w:t>
      </w:r>
      <w:r w:rsidR="00FD507B">
        <w:rPr>
          <w:sz w:val="24"/>
          <w:szCs w:val="24"/>
        </w:rPr>
        <w:t>of</w:t>
      </w:r>
      <w:r w:rsidR="00FD507B" w:rsidRPr="0056592E">
        <w:rPr>
          <w:sz w:val="24"/>
          <w:szCs w:val="24"/>
        </w:rPr>
        <w:t xml:space="preserve"> </w:t>
      </w:r>
      <w:r w:rsidRPr="0056592E">
        <w:rPr>
          <w:sz w:val="24"/>
          <w:szCs w:val="24"/>
        </w:rPr>
        <w:t>Interest and Industry days, as announced herein.</w:t>
      </w:r>
    </w:p>
    <w:p w:rsidR="0062273C" w:rsidRDefault="0062273C" w:rsidP="00412D66">
      <w:pPr>
        <w:jc w:val="both"/>
      </w:pPr>
      <w:r w:rsidRPr="0056592E">
        <w:rPr>
          <w:sz w:val="24"/>
          <w:szCs w:val="24"/>
        </w:rPr>
        <w:t>The personal data will be handled in accordance with the</w:t>
      </w:r>
      <w:r w:rsidR="00B9507D">
        <w:rPr>
          <w:sz w:val="24"/>
          <w:szCs w:val="24"/>
        </w:rPr>
        <w:t xml:space="preserve"> </w:t>
      </w:r>
      <w:r w:rsidRPr="0056592E">
        <w:rPr>
          <w:sz w:val="24"/>
          <w:szCs w:val="24"/>
        </w:rPr>
        <w:t xml:space="preserve">“ESA Personal Data Protection Framework” applicable to ESA and available on the ESA website at the URL: </w:t>
      </w:r>
      <w:hyperlink r:id="rId13" w:history="1">
        <w:r w:rsidR="002B656E" w:rsidRPr="00657691">
          <w:rPr>
            <w:rStyle w:val="Hyperlink"/>
          </w:rPr>
          <w:t>http://www.esa.int/About_Us/Law_at_ESA/Highlights_of_ESA_rules_and_regulations</w:t>
        </w:r>
      </w:hyperlink>
    </w:p>
    <w:p w:rsidR="0062273C" w:rsidRPr="0056592E" w:rsidRDefault="0062273C" w:rsidP="0056592E">
      <w:pPr>
        <w:jc w:val="both"/>
        <w:rPr>
          <w:sz w:val="24"/>
          <w:szCs w:val="24"/>
        </w:rPr>
      </w:pPr>
      <w:r w:rsidRPr="0056592E">
        <w:rPr>
          <w:sz w:val="24"/>
          <w:szCs w:val="24"/>
        </w:rPr>
        <w:t>For TAS</w:t>
      </w:r>
      <w:r w:rsidR="002B656E">
        <w:rPr>
          <w:sz w:val="24"/>
          <w:szCs w:val="24"/>
        </w:rPr>
        <w:t>:</w:t>
      </w:r>
      <w:r w:rsidRPr="0056592E">
        <w:rPr>
          <w:sz w:val="24"/>
          <w:szCs w:val="24"/>
        </w:rPr>
        <w:t xml:space="preserve"> </w:t>
      </w:r>
    </w:p>
    <w:p w:rsidR="0062273C" w:rsidRDefault="0062273C" w:rsidP="0056592E">
      <w:pPr>
        <w:jc w:val="both"/>
        <w:rPr>
          <w:sz w:val="24"/>
          <w:szCs w:val="24"/>
        </w:rPr>
      </w:pPr>
      <w:r w:rsidRPr="0056592E">
        <w:rPr>
          <w:sz w:val="24"/>
          <w:szCs w:val="24"/>
        </w:rPr>
        <w:t>TAS</w:t>
      </w:r>
      <w:r w:rsidR="001B5D6A">
        <w:rPr>
          <w:sz w:val="24"/>
          <w:szCs w:val="24"/>
        </w:rPr>
        <w:t>-</w:t>
      </w:r>
      <w:r w:rsidR="00FD507B">
        <w:rPr>
          <w:sz w:val="24"/>
          <w:szCs w:val="24"/>
        </w:rPr>
        <w:t xml:space="preserve">Italy </w:t>
      </w:r>
      <w:r w:rsidR="002B656E">
        <w:rPr>
          <w:sz w:val="24"/>
          <w:szCs w:val="24"/>
        </w:rPr>
        <w:t>and TAS-France</w:t>
      </w:r>
      <w:r w:rsidR="00C5726E">
        <w:rPr>
          <w:sz w:val="24"/>
          <w:szCs w:val="24"/>
        </w:rPr>
        <w:t xml:space="preserve"> </w:t>
      </w:r>
      <w:r w:rsidRPr="0056592E">
        <w:rPr>
          <w:sz w:val="24"/>
          <w:szCs w:val="24"/>
        </w:rPr>
        <w:t xml:space="preserve">will collect the Expression of Interest Forms received at the email </w:t>
      </w:r>
      <w:r w:rsidR="00FD507B" w:rsidRPr="0056592E">
        <w:rPr>
          <w:sz w:val="24"/>
          <w:szCs w:val="24"/>
        </w:rPr>
        <w:t>address</w:t>
      </w:r>
      <w:r w:rsidR="00FD507B">
        <w:rPr>
          <w:sz w:val="24"/>
          <w:szCs w:val="24"/>
        </w:rPr>
        <w:t>-</w:t>
      </w:r>
      <w:r w:rsidR="00FD507B" w:rsidRPr="0056592E">
        <w:rPr>
          <w:sz w:val="24"/>
          <w:szCs w:val="24"/>
        </w:rPr>
        <w:t xml:space="preserve"> </w:t>
      </w:r>
      <w:r w:rsidRPr="0056592E">
        <w:rPr>
          <w:sz w:val="24"/>
          <w:szCs w:val="24"/>
        </w:rPr>
        <w:t xml:space="preserve">referenced above and retain and use them only for the purposes stated in this Notice. By submitting a form, consent is given to make the expression of interest publicly known, as stated on the Expression of Interest Form. </w:t>
      </w:r>
      <w:r w:rsidR="00FD507B" w:rsidRPr="00FD507B">
        <w:rPr>
          <w:sz w:val="24"/>
          <w:szCs w:val="24"/>
        </w:rPr>
        <w:t xml:space="preserve">ESA will be in copy of the correspondence </w:t>
      </w:r>
      <w:r w:rsidR="00434114">
        <w:rPr>
          <w:sz w:val="24"/>
          <w:szCs w:val="24"/>
        </w:rPr>
        <w:t xml:space="preserve">(IHAB.Industry.Day@esa.int) </w:t>
      </w:r>
      <w:r w:rsidR="00FD507B" w:rsidRPr="00FD507B">
        <w:rPr>
          <w:sz w:val="24"/>
          <w:szCs w:val="24"/>
        </w:rPr>
        <w:t>and have visibility of the Expression of Interest Forms.</w:t>
      </w:r>
    </w:p>
    <w:p w:rsidR="00B9507D" w:rsidRPr="00320300" w:rsidRDefault="00B9507D" w:rsidP="00B9507D">
      <w:pPr>
        <w:jc w:val="both"/>
        <w:rPr>
          <w:sz w:val="24"/>
          <w:szCs w:val="24"/>
        </w:rPr>
      </w:pPr>
      <w:r w:rsidRPr="00320300">
        <w:rPr>
          <w:sz w:val="24"/>
          <w:szCs w:val="24"/>
        </w:rPr>
        <w:t>Please kindly indicate your consent to the above in the registration email.</w:t>
      </w:r>
    </w:p>
    <w:p w:rsidR="0088524C" w:rsidRPr="00DB1A2B" w:rsidRDefault="007902F3" w:rsidP="00DB1A2B">
      <w:pPr>
        <w:pStyle w:val="ListParagraph"/>
        <w:numPr>
          <w:ilvl w:val="0"/>
          <w:numId w:val="5"/>
        </w:numPr>
        <w:jc w:val="both"/>
        <w:rPr>
          <w:b/>
          <w:sz w:val="24"/>
          <w:szCs w:val="24"/>
          <w:lang w:val="en-US"/>
        </w:rPr>
      </w:pPr>
      <w:r w:rsidRPr="00DB1A2B">
        <w:rPr>
          <w:b/>
          <w:sz w:val="24"/>
          <w:szCs w:val="24"/>
          <w:lang w:val="en-US"/>
        </w:rPr>
        <w:t>DISCLAIMER</w:t>
      </w:r>
    </w:p>
    <w:p w:rsidR="001B4BFA" w:rsidRPr="001B4BFA" w:rsidRDefault="001B4BFA" w:rsidP="001444DC">
      <w:pPr>
        <w:jc w:val="both"/>
        <w:rPr>
          <w:sz w:val="24"/>
          <w:szCs w:val="24"/>
        </w:rPr>
      </w:pPr>
      <w:r w:rsidRPr="001B4BFA">
        <w:rPr>
          <w:sz w:val="24"/>
          <w:szCs w:val="24"/>
        </w:rPr>
        <w:t xml:space="preserve">The publication of  this Notice or invitation to the Industry Day shall not bind  </w:t>
      </w:r>
      <w:r w:rsidR="00492745">
        <w:rPr>
          <w:sz w:val="24"/>
          <w:szCs w:val="24"/>
        </w:rPr>
        <w:t>Thales Alenia Space Italia</w:t>
      </w:r>
      <w:r w:rsidR="001B5D6A">
        <w:rPr>
          <w:sz w:val="24"/>
          <w:szCs w:val="24"/>
        </w:rPr>
        <w:t xml:space="preserve"> </w:t>
      </w:r>
      <w:r w:rsidRPr="001B4BFA">
        <w:rPr>
          <w:sz w:val="24"/>
          <w:szCs w:val="24"/>
        </w:rPr>
        <w:t xml:space="preserve">nor ESA to issue an invitation to tender / request for proposal / request for quotation,  nor to place a contract for any of the procurements detailed herein. </w:t>
      </w:r>
    </w:p>
    <w:p w:rsidR="005D4D42" w:rsidRDefault="001B4BFA">
      <w:pPr>
        <w:rPr>
          <w:sz w:val="24"/>
          <w:szCs w:val="24"/>
        </w:rPr>
      </w:pPr>
      <w:r w:rsidRPr="001B4BFA">
        <w:rPr>
          <w:sz w:val="24"/>
          <w:szCs w:val="24"/>
        </w:rPr>
        <w:t xml:space="preserve">The list of Procurement Items may be amended by </w:t>
      </w:r>
      <w:r w:rsidR="00492745">
        <w:rPr>
          <w:sz w:val="24"/>
          <w:szCs w:val="24"/>
        </w:rPr>
        <w:t xml:space="preserve">Thales Alenia Space Italia </w:t>
      </w:r>
      <w:r w:rsidRPr="001B4BFA">
        <w:rPr>
          <w:sz w:val="24"/>
          <w:szCs w:val="24"/>
        </w:rPr>
        <w:t>in agreement with ESA.</w:t>
      </w:r>
      <w:r w:rsidR="005D4D42">
        <w:rPr>
          <w:sz w:val="24"/>
          <w:szCs w:val="24"/>
        </w:rPr>
        <w:br w:type="page"/>
      </w:r>
    </w:p>
    <w:p w:rsidR="00434114" w:rsidRPr="00863DC8" w:rsidRDefault="00434114" w:rsidP="00434114">
      <w:pPr>
        <w:jc w:val="center"/>
        <w:rPr>
          <w:b/>
          <w:sz w:val="48"/>
          <w:szCs w:val="48"/>
        </w:rPr>
      </w:pPr>
      <w:r w:rsidRPr="00863DC8">
        <w:rPr>
          <w:b/>
          <w:sz w:val="48"/>
          <w:szCs w:val="48"/>
        </w:rPr>
        <w:lastRenderedPageBreak/>
        <w:t>Thales Alenia Space</w:t>
      </w:r>
    </w:p>
    <w:p w:rsidR="00434114" w:rsidRDefault="00434114" w:rsidP="00434114">
      <w:pPr>
        <w:spacing w:line="240" w:lineRule="auto"/>
        <w:jc w:val="center"/>
        <w:rPr>
          <w:b/>
          <w:sz w:val="24"/>
          <w:szCs w:val="24"/>
          <w:lang w:val="en-US"/>
        </w:rPr>
      </w:pPr>
      <w:r w:rsidRPr="005E1A29">
        <w:rPr>
          <w:b/>
          <w:sz w:val="24"/>
          <w:szCs w:val="24"/>
        </w:rPr>
        <w:t>Cislunar Gateway – International Habitat (I-HAB)</w:t>
      </w:r>
      <w:r>
        <w:rPr>
          <w:b/>
          <w:sz w:val="24"/>
          <w:szCs w:val="24"/>
        </w:rPr>
        <w:t xml:space="preserve"> </w:t>
      </w:r>
      <w:r w:rsidRPr="006D59F7">
        <w:rPr>
          <w:b/>
          <w:sz w:val="24"/>
          <w:szCs w:val="24"/>
          <w:lang w:val="en-US"/>
        </w:rPr>
        <w:t>Phases B2/C/D/E1</w:t>
      </w:r>
    </w:p>
    <w:p w:rsidR="00434114" w:rsidRDefault="00434114" w:rsidP="00434114">
      <w:pPr>
        <w:spacing w:line="240" w:lineRule="auto"/>
        <w:ind w:left="1134" w:right="1275"/>
        <w:jc w:val="center"/>
        <w:rPr>
          <w:sz w:val="24"/>
          <w:szCs w:val="24"/>
        </w:rPr>
      </w:pPr>
      <w:r>
        <w:rPr>
          <w:sz w:val="24"/>
          <w:szCs w:val="24"/>
        </w:rPr>
        <w:t xml:space="preserve">Please note that the registration and completion of the EOI is </w:t>
      </w:r>
      <w:r w:rsidRPr="00E87A00">
        <w:rPr>
          <w:b/>
          <w:sz w:val="24"/>
          <w:szCs w:val="24"/>
        </w:rPr>
        <w:t>MANDATORY</w:t>
      </w:r>
      <w:r>
        <w:rPr>
          <w:sz w:val="24"/>
          <w:szCs w:val="24"/>
        </w:rPr>
        <w:t xml:space="preserve"> for attending the event.</w:t>
      </w:r>
    </w:p>
    <w:p w:rsidR="00434114" w:rsidRDefault="00434114" w:rsidP="00434114">
      <w:pPr>
        <w:pStyle w:val="ListParagraph"/>
        <w:spacing w:line="240" w:lineRule="auto"/>
        <w:jc w:val="center"/>
        <w:rPr>
          <w:b/>
          <w:sz w:val="36"/>
          <w:szCs w:val="36"/>
        </w:rPr>
      </w:pPr>
      <w:r w:rsidRPr="00FE4681">
        <w:rPr>
          <w:b/>
          <w:sz w:val="36"/>
          <w:szCs w:val="36"/>
        </w:rPr>
        <w:t xml:space="preserve">Expression of Interest Form - </w:t>
      </w:r>
      <w:r>
        <w:rPr>
          <w:b/>
          <w:sz w:val="36"/>
          <w:szCs w:val="36"/>
        </w:rPr>
        <w:t>I</w:t>
      </w:r>
      <w:r w:rsidR="00C02AD3">
        <w:rPr>
          <w:b/>
          <w:sz w:val="36"/>
          <w:szCs w:val="36"/>
        </w:rPr>
        <w:t>-</w:t>
      </w:r>
      <w:r>
        <w:rPr>
          <w:b/>
          <w:sz w:val="36"/>
          <w:szCs w:val="36"/>
        </w:rPr>
        <w:t>HAB</w:t>
      </w:r>
    </w:p>
    <w:p w:rsidR="00434114" w:rsidRDefault="00434114" w:rsidP="00434114">
      <w:pPr>
        <w:pStyle w:val="ListParagraph"/>
        <w:rPr>
          <w:sz w:val="20"/>
          <w:szCs w:val="20"/>
        </w:rPr>
      </w:pPr>
    </w:p>
    <w:p w:rsidR="00434114" w:rsidRPr="00A8685A" w:rsidRDefault="00434114" w:rsidP="00434114">
      <w:pPr>
        <w:pStyle w:val="ListParagraph"/>
        <w:ind w:left="0"/>
        <w:rPr>
          <w:b/>
          <w:sz w:val="28"/>
          <w:szCs w:val="28"/>
        </w:rPr>
      </w:pPr>
      <w:r w:rsidRPr="00DE594A">
        <w:rPr>
          <w:sz w:val="20"/>
          <w:szCs w:val="20"/>
        </w:rPr>
        <w:t xml:space="preserve">To: </w:t>
      </w:r>
      <w:hyperlink r:id="rId14" w:history="1">
        <w:r w:rsidRPr="00DE594A">
          <w:rPr>
            <w:rStyle w:val="Hyperlink"/>
            <w:b/>
            <w:sz w:val="20"/>
            <w:szCs w:val="20"/>
          </w:rPr>
          <w:t>IHAB.IndustryDay@thalesaleniaspace.com</w:t>
        </w:r>
      </w:hyperlink>
    </w:p>
    <w:p w:rsidR="00434114" w:rsidRDefault="00434114" w:rsidP="00434114">
      <w:pPr>
        <w:pStyle w:val="ListParagraph"/>
        <w:ind w:left="0"/>
        <w:rPr>
          <w:sz w:val="20"/>
          <w:szCs w:val="20"/>
        </w:rPr>
      </w:pPr>
      <w:r>
        <w:rPr>
          <w:sz w:val="20"/>
          <w:szCs w:val="20"/>
        </w:rPr>
        <w:t xml:space="preserve">Cc: </w:t>
      </w:r>
      <w:hyperlink r:id="rId15" w:history="1">
        <w:r w:rsidRPr="0050476F">
          <w:rPr>
            <w:rStyle w:val="Hyperlink"/>
            <w:b/>
            <w:sz w:val="20"/>
            <w:szCs w:val="20"/>
          </w:rPr>
          <w:t>IHAB.Industry.Day@esa.int</w:t>
        </w:r>
      </w:hyperlink>
    </w:p>
    <w:p w:rsidR="00434114" w:rsidRDefault="00434114" w:rsidP="00434114">
      <w:pPr>
        <w:pStyle w:val="ListParagraph"/>
        <w:ind w:left="0"/>
        <w:rPr>
          <w:sz w:val="20"/>
          <w:szCs w:val="20"/>
        </w:rPr>
      </w:pPr>
    </w:p>
    <w:p w:rsidR="00434114" w:rsidRPr="00DE594A" w:rsidRDefault="00434114" w:rsidP="00434114">
      <w:pPr>
        <w:pStyle w:val="ListParagraph"/>
        <w:ind w:left="0"/>
        <w:rPr>
          <w:sz w:val="20"/>
          <w:szCs w:val="20"/>
        </w:rPr>
      </w:pPr>
      <w:r w:rsidRPr="00DE594A">
        <w:rPr>
          <w:sz w:val="20"/>
          <w:szCs w:val="20"/>
        </w:rPr>
        <w:t xml:space="preserve">We consent to </w:t>
      </w:r>
      <w:r>
        <w:rPr>
          <w:sz w:val="20"/>
          <w:szCs w:val="20"/>
        </w:rPr>
        <w:t>Thales Alenia Space - Ital</w:t>
      </w:r>
      <w:r w:rsidR="00C02AD3">
        <w:rPr>
          <w:sz w:val="20"/>
          <w:szCs w:val="20"/>
        </w:rPr>
        <w:t>ia</w:t>
      </w:r>
      <w:r w:rsidRPr="00DE594A">
        <w:rPr>
          <w:sz w:val="20"/>
          <w:szCs w:val="20"/>
        </w:rPr>
        <w:t xml:space="preserve"> making this interest publically known, and to the Personal Data Protection </w:t>
      </w:r>
      <w:r w:rsidR="00C02AD3">
        <w:rPr>
          <w:sz w:val="20"/>
          <w:szCs w:val="20"/>
        </w:rPr>
        <w:t>provisions</w:t>
      </w:r>
      <w:r w:rsidRPr="00DE594A">
        <w:rPr>
          <w:sz w:val="20"/>
          <w:szCs w:val="20"/>
        </w:rPr>
        <w:t xml:space="preserve"> described in Section </w:t>
      </w:r>
      <w:r w:rsidR="00C02AD3">
        <w:rPr>
          <w:sz w:val="20"/>
          <w:szCs w:val="20"/>
        </w:rPr>
        <w:t>4</w:t>
      </w:r>
      <w:r w:rsidRPr="00DE594A">
        <w:rPr>
          <w:sz w:val="20"/>
          <w:szCs w:val="20"/>
        </w:rPr>
        <w:t xml:space="preserve"> of this notice. </w:t>
      </w:r>
    </w:p>
    <w:tbl>
      <w:tblPr>
        <w:tblStyle w:val="TableGrid"/>
        <w:tblW w:w="9385" w:type="dxa"/>
        <w:tblInd w:w="-176" w:type="dxa"/>
        <w:tblLook w:val="04A0" w:firstRow="1" w:lastRow="0" w:firstColumn="1" w:lastColumn="0" w:noHBand="0" w:noVBand="1"/>
      </w:tblPr>
      <w:tblGrid>
        <w:gridCol w:w="6125"/>
        <w:gridCol w:w="3260"/>
      </w:tblGrid>
      <w:tr w:rsidR="00434114" w:rsidRPr="000F2162" w:rsidTr="00C40ED7">
        <w:tc>
          <w:tcPr>
            <w:tcW w:w="6125" w:type="dxa"/>
            <w:shd w:val="clear" w:color="auto" w:fill="auto"/>
          </w:tcPr>
          <w:p w:rsidR="00434114" w:rsidRPr="000F2162" w:rsidRDefault="00434114" w:rsidP="00DB073A">
            <w:pPr>
              <w:rPr>
                <w:rFonts w:cstheme="minorHAnsi"/>
                <w:sz w:val="20"/>
                <w:szCs w:val="20"/>
              </w:rPr>
            </w:pPr>
            <w:r w:rsidRPr="000F2162">
              <w:rPr>
                <w:rFonts w:cstheme="minorHAnsi"/>
                <w:color w:val="000000"/>
                <w:sz w:val="20"/>
                <w:szCs w:val="20"/>
              </w:rPr>
              <w:t xml:space="preserve">IHAB Item(s) for which interest is expressed to Bid </w:t>
            </w:r>
          </w:p>
        </w:tc>
        <w:tc>
          <w:tcPr>
            <w:tcW w:w="3260" w:type="dxa"/>
            <w:shd w:val="clear" w:color="auto" w:fill="auto"/>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Company Name</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FE1C29">
            <w:pPr>
              <w:autoSpaceDE w:val="0"/>
              <w:autoSpaceDN w:val="0"/>
              <w:adjustRightInd w:val="0"/>
              <w:rPr>
                <w:rFonts w:cstheme="minorHAnsi"/>
                <w:sz w:val="20"/>
                <w:szCs w:val="20"/>
                <w:lang w:val="es-ES"/>
              </w:rPr>
            </w:pPr>
            <w:proofErr w:type="spellStart"/>
            <w:r w:rsidRPr="000F2162">
              <w:rPr>
                <w:rFonts w:cstheme="minorHAnsi"/>
                <w:color w:val="000000"/>
                <w:sz w:val="20"/>
                <w:szCs w:val="20"/>
                <w:lang w:val="es-ES"/>
              </w:rPr>
              <w:t>Company’s</w:t>
            </w:r>
            <w:proofErr w:type="spellEnd"/>
            <w:r w:rsidRPr="000F2162">
              <w:rPr>
                <w:rFonts w:cstheme="minorHAnsi"/>
                <w:color w:val="000000"/>
                <w:sz w:val="20"/>
                <w:szCs w:val="20"/>
                <w:lang w:val="es-ES"/>
              </w:rPr>
              <w:t xml:space="preserve"> ESA </w:t>
            </w:r>
            <w:proofErr w:type="spellStart"/>
            <w:r w:rsidRPr="000F2162">
              <w:rPr>
                <w:rFonts w:cstheme="minorHAnsi"/>
                <w:color w:val="000000"/>
                <w:sz w:val="20"/>
                <w:szCs w:val="20"/>
                <w:lang w:val="es-ES"/>
              </w:rPr>
              <w:t>Entity</w:t>
            </w:r>
            <w:proofErr w:type="spellEnd"/>
            <w:r w:rsidRPr="000F2162">
              <w:rPr>
                <w:rFonts w:cstheme="minorHAnsi"/>
                <w:color w:val="000000"/>
                <w:sz w:val="20"/>
                <w:szCs w:val="20"/>
                <w:lang w:val="es-ES"/>
              </w:rPr>
              <w:t xml:space="preserve"> </w:t>
            </w:r>
            <w:proofErr w:type="spellStart"/>
            <w:r w:rsidRPr="000F2162">
              <w:rPr>
                <w:rFonts w:cstheme="minorHAnsi"/>
                <w:color w:val="000000"/>
                <w:sz w:val="20"/>
                <w:szCs w:val="20"/>
                <w:lang w:val="es-ES"/>
              </w:rPr>
              <w:t>Code</w:t>
            </w:r>
            <w:proofErr w:type="spellEnd"/>
            <w:r w:rsidR="00FE1C29">
              <w:rPr>
                <w:rFonts w:cstheme="minorHAnsi"/>
                <w:color w:val="000000"/>
                <w:sz w:val="20"/>
                <w:szCs w:val="20"/>
                <w:lang w:val="es-ES"/>
              </w:rPr>
              <w:t xml:space="preserve"> </w:t>
            </w:r>
            <w:r w:rsidRPr="000F2162">
              <w:rPr>
                <w:rFonts w:cstheme="minorHAnsi"/>
                <w:sz w:val="20"/>
                <w:szCs w:val="20"/>
                <w:lang w:val="es-ES"/>
              </w:rPr>
              <w:t>(</w:t>
            </w:r>
            <w:r w:rsidRPr="000F2162">
              <w:rPr>
                <w:rFonts w:cstheme="minorHAnsi"/>
                <w:color w:val="000000"/>
                <w:sz w:val="20"/>
                <w:szCs w:val="20"/>
                <w:lang w:val="es-ES"/>
              </w:rPr>
              <w:t xml:space="preserve">ESA-P </w:t>
            </w:r>
            <w:proofErr w:type="spellStart"/>
            <w:r w:rsidRPr="000F2162">
              <w:rPr>
                <w:rFonts w:cstheme="minorHAnsi"/>
                <w:color w:val="000000"/>
                <w:sz w:val="20"/>
                <w:szCs w:val="20"/>
                <w:lang w:val="es-ES"/>
              </w:rPr>
              <w:t>Vendor</w:t>
            </w:r>
            <w:proofErr w:type="spellEnd"/>
            <w:r w:rsidRPr="000F2162">
              <w:rPr>
                <w:rFonts w:cstheme="minorHAnsi"/>
                <w:color w:val="000000"/>
                <w:sz w:val="20"/>
                <w:szCs w:val="20"/>
                <w:lang w:val="es-ES"/>
              </w:rPr>
              <w:t xml:space="preserve"> </w:t>
            </w:r>
            <w:proofErr w:type="spellStart"/>
            <w:r w:rsidRPr="000F2162">
              <w:rPr>
                <w:rFonts w:cstheme="minorHAnsi"/>
                <w:color w:val="000000"/>
                <w:sz w:val="20"/>
                <w:szCs w:val="20"/>
                <w:lang w:val="es-ES"/>
              </w:rPr>
              <w:t>Code</w:t>
            </w:r>
            <w:proofErr w:type="spellEnd"/>
            <w:r w:rsidRPr="000F2162">
              <w:rPr>
                <w:rFonts w:cstheme="minorHAnsi"/>
                <w:color w:val="000000"/>
                <w:sz w:val="20"/>
                <w:szCs w:val="20"/>
                <w:lang w:val="es-ES"/>
              </w:rPr>
              <w:t>)</w:t>
            </w:r>
          </w:p>
        </w:tc>
        <w:tc>
          <w:tcPr>
            <w:tcW w:w="3260" w:type="dxa"/>
          </w:tcPr>
          <w:p w:rsidR="00434114" w:rsidRPr="000F2162" w:rsidRDefault="00434114" w:rsidP="00DB073A">
            <w:pPr>
              <w:pStyle w:val="ListParagraph"/>
              <w:ind w:left="0"/>
              <w:rPr>
                <w:rFonts w:cstheme="minorHAnsi"/>
                <w:sz w:val="20"/>
                <w:szCs w:val="20"/>
                <w:lang w:val="es-ES"/>
              </w:rPr>
            </w:pPr>
          </w:p>
        </w:tc>
      </w:tr>
      <w:tr w:rsidR="00434114" w:rsidRPr="000F2162" w:rsidTr="00C40ED7">
        <w:tc>
          <w:tcPr>
            <w:tcW w:w="6125" w:type="dxa"/>
          </w:tcPr>
          <w:p w:rsidR="00434114" w:rsidRPr="000F2162" w:rsidRDefault="00434114" w:rsidP="00DB073A">
            <w:pPr>
              <w:pStyle w:val="ListParagraph"/>
              <w:ind w:left="0"/>
              <w:rPr>
                <w:rFonts w:cstheme="minorHAnsi"/>
                <w:color w:val="000000"/>
                <w:sz w:val="20"/>
                <w:szCs w:val="20"/>
              </w:rPr>
            </w:pPr>
            <w:r w:rsidRPr="000F2162">
              <w:rPr>
                <w:rFonts w:cstheme="minorHAnsi"/>
                <w:sz w:val="20"/>
                <w:szCs w:val="20"/>
                <w:lang w:val="es-ES"/>
              </w:rPr>
              <w:t xml:space="preserve">SME </w:t>
            </w:r>
          </w:p>
        </w:tc>
        <w:tc>
          <w:tcPr>
            <w:tcW w:w="3260" w:type="dxa"/>
          </w:tcPr>
          <w:p w:rsidR="00434114" w:rsidRPr="00A61400" w:rsidRDefault="00434114" w:rsidP="00DB073A">
            <w:pPr>
              <w:pStyle w:val="ListParagraph"/>
              <w:ind w:left="0"/>
              <w:rPr>
                <w:rFonts w:cstheme="minorHAnsi"/>
                <w:i/>
                <w:color w:val="000000"/>
                <w:sz w:val="20"/>
                <w:szCs w:val="20"/>
              </w:rPr>
            </w:pPr>
            <w:r>
              <w:rPr>
                <w:rFonts w:cstheme="minorHAnsi"/>
                <w:i/>
                <w:color w:val="000000"/>
                <w:sz w:val="20"/>
                <w:szCs w:val="20"/>
              </w:rPr>
              <w:t>YES/NO</w:t>
            </w: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Country of Registration </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Company Address </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Company Web Address </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Parent company (if applicable) </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Company's main business activities </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rPr>
                <w:rFonts w:cstheme="minorHAnsi"/>
                <w:sz w:val="20"/>
                <w:szCs w:val="20"/>
              </w:rPr>
            </w:pPr>
            <w:r w:rsidRPr="000F2162">
              <w:rPr>
                <w:rFonts w:cstheme="minorHAnsi"/>
                <w:color w:val="000000"/>
                <w:sz w:val="20"/>
                <w:szCs w:val="20"/>
              </w:rPr>
              <w:t xml:space="preserve">Company’s specialist products or capabilities offered </w:t>
            </w:r>
          </w:p>
        </w:tc>
        <w:tc>
          <w:tcPr>
            <w:tcW w:w="3260" w:type="dxa"/>
          </w:tcPr>
          <w:p w:rsidR="00434114" w:rsidRPr="000F2162" w:rsidRDefault="00434114" w:rsidP="00DB073A">
            <w:pPr>
              <w:pStyle w:val="ListParagraph"/>
              <w:ind w:left="0"/>
              <w:rPr>
                <w:rFonts w:cstheme="minorHAnsi"/>
                <w:sz w:val="20"/>
                <w:szCs w:val="20"/>
              </w:rPr>
            </w:pPr>
          </w:p>
        </w:tc>
      </w:tr>
      <w:tr w:rsidR="00C02AD3" w:rsidRPr="000F2162" w:rsidTr="00C40ED7">
        <w:tc>
          <w:tcPr>
            <w:tcW w:w="6125" w:type="dxa"/>
          </w:tcPr>
          <w:p w:rsidR="00C02AD3" w:rsidRPr="000F2162" w:rsidRDefault="00C02AD3" w:rsidP="00DB073A">
            <w:pPr>
              <w:pStyle w:val="ListParagraph"/>
              <w:ind w:left="0"/>
              <w:rPr>
                <w:rFonts w:cstheme="minorHAnsi"/>
                <w:color w:val="000000"/>
                <w:sz w:val="20"/>
                <w:szCs w:val="20"/>
              </w:rPr>
            </w:pPr>
            <w:r>
              <w:rPr>
                <w:rFonts w:cstheme="minorHAnsi"/>
                <w:color w:val="000000"/>
                <w:sz w:val="20"/>
                <w:szCs w:val="20"/>
              </w:rPr>
              <w:t>Space project heritage (including TRL if not flown)</w:t>
            </w:r>
          </w:p>
        </w:tc>
        <w:tc>
          <w:tcPr>
            <w:tcW w:w="3260" w:type="dxa"/>
          </w:tcPr>
          <w:p w:rsidR="00C02AD3" w:rsidRPr="000F2162" w:rsidRDefault="00C02AD3"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jc w:val="right"/>
              <w:rPr>
                <w:rFonts w:cstheme="minorHAnsi"/>
                <w:b/>
                <w:i/>
                <w:color w:val="000000"/>
                <w:sz w:val="20"/>
                <w:szCs w:val="20"/>
                <w:highlight w:val="lightGray"/>
              </w:rPr>
            </w:pPr>
          </w:p>
          <w:p w:rsidR="00434114" w:rsidRPr="000F2162" w:rsidRDefault="00434114" w:rsidP="00DB073A">
            <w:pPr>
              <w:pStyle w:val="ListParagraph"/>
              <w:ind w:left="0"/>
              <w:jc w:val="right"/>
              <w:rPr>
                <w:rFonts w:cstheme="minorHAnsi"/>
                <w:b/>
                <w:i/>
                <w:color w:val="000000"/>
                <w:sz w:val="20"/>
                <w:szCs w:val="20"/>
                <w:highlight w:val="lightGray"/>
              </w:rPr>
            </w:pPr>
            <w:r w:rsidRPr="000F2162">
              <w:rPr>
                <w:rFonts w:cstheme="minorHAnsi"/>
                <w:b/>
                <w:i/>
                <w:color w:val="000000"/>
                <w:sz w:val="20"/>
                <w:szCs w:val="20"/>
                <w:highlight w:val="lightGray"/>
              </w:rPr>
              <w:t>Industry Day Registration</w:t>
            </w:r>
          </w:p>
          <w:p w:rsidR="00434114" w:rsidRPr="000F2162" w:rsidRDefault="00434114" w:rsidP="00DB073A">
            <w:pPr>
              <w:pStyle w:val="ListParagraph"/>
              <w:ind w:left="0"/>
              <w:jc w:val="right"/>
              <w:rPr>
                <w:rFonts w:cstheme="minorHAnsi"/>
                <w:i/>
                <w:color w:val="000000"/>
                <w:sz w:val="20"/>
                <w:szCs w:val="20"/>
              </w:rPr>
            </w:pPr>
            <w:r w:rsidRPr="000F2162">
              <w:rPr>
                <w:rFonts w:cstheme="minorHAnsi"/>
                <w:i/>
                <w:color w:val="000000"/>
                <w:sz w:val="20"/>
                <w:szCs w:val="20"/>
              </w:rPr>
              <w:t>Please tick this box if you have registered for the  Industry Day for IHAB (via internet)</w:t>
            </w:r>
          </w:p>
          <w:p w:rsidR="00434114" w:rsidRPr="000F2162" w:rsidRDefault="00434114" w:rsidP="00DB073A">
            <w:pPr>
              <w:pStyle w:val="ListParagraph"/>
              <w:ind w:left="0"/>
              <w:rPr>
                <w:rFonts w:cstheme="minorHAnsi"/>
                <w:i/>
                <w:color w:val="000000"/>
                <w:sz w:val="20"/>
                <w:szCs w:val="20"/>
              </w:rPr>
            </w:pPr>
          </w:p>
          <w:p w:rsidR="00434114" w:rsidRPr="000F2162" w:rsidRDefault="00434114" w:rsidP="00DB073A">
            <w:pPr>
              <w:pStyle w:val="ListParagraph"/>
              <w:ind w:left="0"/>
              <w:jc w:val="both"/>
              <w:rPr>
                <w:rFonts w:cstheme="minorHAnsi"/>
                <w:color w:val="000000"/>
                <w:sz w:val="16"/>
                <w:szCs w:val="16"/>
              </w:rPr>
            </w:pPr>
            <w:r w:rsidRPr="000F2162">
              <w:rPr>
                <w:rFonts w:cstheme="minorHAnsi"/>
                <w:i/>
                <w:color w:val="000000"/>
                <w:sz w:val="16"/>
                <w:szCs w:val="16"/>
              </w:rPr>
              <w:t>Bilateral meetings will be conducted 20</w:t>
            </w:r>
            <w:r w:rsidRPr="000F2162">
              <w:rPr>
                <w:rFonts w:cstheme="minorHAnsi"/>
                <w:i/>
                <w:color w:val="000000"/>
                <w:sz w:val="16"/>
                <w:szCs w:val="16"/>
                <w:vertAlign w:val="superscript"/>
              </w:rPr>
              <w:t>th</w:t>
            </w:r>
            <w:r w:rsidRPr="000F2162">
              <w:rPr>
                <w:rFonts w:cstheme="minorHAnsi"/>
                <w:i/>
                <w:color w:val="000000"/>
                <w:sz w:val="16"/>
                <w:szCs w:val="16"/>
              </w:rPr>
              <w:t xml:space="preserve"> May (afternoon) in 30 minute</w:t>
            </w:r>
            <w:r w:rsidR="00F40653">
              <w:rPr>
                <w:rFonts w:cstheme="minorHAnsi"/>
                <w:i/>
                <w:color w:val="000000"/>
                <w:sz w:val="16"/>
                <w:szCs w:val="16"/>
              </w:rPr>
              <w:t>s</w:t>
            </w:r>
            <w:r w:rsidRPr="000F2162">
              <w:rPr>
                <w:rFonts w:cstheme="minorHAnsi"/>
                <w:i/>
                <w:color w:val="000000"/>
                <w:sz w:val="16"/>
                <w:szCs w:val="16"/>
              </w:rPr>
              <w:t xml:space="preserve"> slots over web-ex. </w:t>
            </w:r>
          </w:p>
        </w:tc>
        <w:tc>
          <w:tcPr>
            <w:tcW w:w="3260" w:type="dxa"/>
          </w:tcPr>
          <w:p w:rsidR="00434114" w:rsidRDefault="00434114" w:rsidP="00DB073A">
            <w:pPr>
              <w:pStyle w:val="ListParagraph"/>
              <w:ind w:left="0"/>
              <w:rPr>
                <w:rFonts w:cstheme="minorHAnsi"/>
                <w:i/>
                <w:color w:val="000000"/>
                <w:sz w:val="20"/>
                <w:szCs w:val="20"/>
              </w:rPr>
            </w:pPr>
          </w:p>
          <w:p w:rsidR="00434114" w:rsidRPr="000F2162" w:rsidRDefault="00434114" w:rsidP="00DB073A">
            <w:pPr>
              <w:pStyle w:val="ListParagraph"/>
              <w:ind w:left="0"/>
              <w:rPr>
                <w:rFonts w:cstheme="minorHAnsi"/>
                <w:i/>
                <w:color w:val="000000"/>
                <w:sz w:val="20"/>
                <w:szCs w:val="20"/>
              </w:rPr>
            </w:pPr>
            <w:r w:rsidRPr="000F2162">
              <w:rPr>
                <w:rFonts w:cstheme="minorHAnsi"/>
                <w:i/>
                <w:color w:val="000000"/>
                <w:sz w:val="20"/>
                <w:szCs w:val="20"/>
              </w:rPr>
              <w:t>YES/NO</w:t>
            </w:r>
          </w:p>
          <w:p w:rsidR="00434114" w:rsidRPr="000F2162" w:rsidRDefault="00434114" w:rsidP="00DB073A">
            <w:pPr>
              <w:pStyle w:val="ListParagraph"/>
              <w:ind w:left="0"/>
              <w:rPr>
                <w:rFonts w:cstheme="minorHAnsi"/>
                <w:sz w:val="20"/>
                <w:szCs w:val="20"/>
              </w:rPr>
            </w:pPr>
          </w:p>
          <w:p w:rsidR="00434114" w:rsidRPr="000F2162" w:rsidRDefault="00434114" w:rsidP="00DB073A">
            <w:pPr>
              <w:pStyle w:val="ListParagraph"/>
              <w:ind w:left="0"/>
              <w:rPr>
                <w:rFonts w:cstheme="minorHAnsi"/>
                <w:sz w:val="20"/>
                <w:szCs w:val="20"/>
              </w:rPr>
            </w:pPr>
          </w:p>
        </w:tc>
      </w:tr>
      <w:tr w:rsidR="00434114" w:rsidRPr="000F2162" w:rsidTr="00C40ED7">
        <w:trPr>
          <w:trHeight w:val="835"/>
        </w:trPr>
        <w:tc>
          <w:tcPr>
            <w:tcW w:w="6125" w:type="dxa"/>
          </w:tcPr>
          <w:p w:rsidR="00434114" w:rsidRDefault="00434114" w:rsidP="00DB073A">
            <w:pPr>
              <w:pStyle w:val="ListParagraph"/>
              <w:ind w:left="0"/>
              <w:jc w:val="right"/>
              <w:rPr>
                <w:rFonts w:cstheme="minorHAnsi"/>
                <w:b/>
                <w:i/>
                <w:color w:val="000000"/>
                <w:sz w:val="20"/>
                <w:szCs w:val="20"/>
                <w:highlight w:val="lightGray"/>
              </w:rPr>
            </w:pPr>
          </w:p>
          <w:p w:rsidR="00434114" w:rsidRPr="000F2162" w:rsidRDefault="00434114" w:rsidP="00DB073A">
            <w:pPr>
              <w:pStyle w:val="ListParagraph"/>
              <w:ind w:left="0"/>
              <w:jc w:val="right"/>
              <w:rPr>
                <w:rFonts w:cstheme="minorHAnsi"/>
                <w:b/>
                <w:i/>
                <w:color w:val="000000"/>
                <w:sz w:val="20"/>
                <w:szCs w:val="20"/>
                <w:highlight w:val="lightGray"/>
              </w:rPr>
            </w:pPr>
            <w:r w:rsidRPr="000F2162">
              <w:rPr>
                <w:rFonts w:cstheme="minorHAnsi"/>
                <w:b/>
                <w:i/>
                <w:color w:val="000000"/>
                <w:sz w:val="20"/>
                <w:szCs w:val="20"/>
                <w:highlight w:val="lightGray"/>
              </w:rPr>
              <w:t>Industry Bilateral Request</w:t>
            </w:r>
          </w:p>
          <w:p w:rsidR="00434114" w:rsidRPr="000F2162" w:rsidRDefault="00434114" w:rsidP="00C40ED7">
            <w:pPr>
              <w:pStyle w:val="ListParagraph"/>
              <w:ind w:left="0"/>
              <w:jc w:val="right"/>
              <w:rPr>
                <w:rFonts w:cstheme="minorHAnsi"/>
                <w:b/>
                <w:i/>
                <w:color w:val="000000"/>
                <w:sz w:val="20"/>
                <w:szCs w:val="20"/>
                <w:highlight w:val="lightGray"/>
              </w:rPr>
            </w:pPr>
            <w:r w:rsidRPr="000F2162">
              <w:rPr>
                <w:rFonts w:cstheme="minorHAnsi"/>
                <w:i/>
                <w:color w:val="000000"/>
                <w:sz w:val="20"/>
                <w:szCs w:val="20"/>
              </w:rPr>
              <w:t>Request bi-lateral meeting with Thales Alenia Space</w:t>
            </w:r>
            <w:r w:rsidR="00FE1C29">
              <w:rPr>
                <w:rFonts w:cstheme="minorHAnsi"/>
                <w:i/>
                <w:color w:val="000000"/>
                <w:sz w:val="20"/>
                <w:szCs w:val="20"/>
              </w:rPr>
              <w:t xml:space="preserve"> Italia</w:t>
            </w:r>
          </w:p>
        </w:tc>
        <w:tc>
          <w:tcPr>
            <w:tcW w:w="3260" w:type="dxa"/>
          </w:tcPr>
          <w:p w:rsidR="00434114" w:rsidRDefault="00434114" w:rsidP="00DB073A">
            <w:pPr>
              <w:pStyle w:val="ListParagraph"/>
              <w:ind w:left="0"/>
              <w:rPr>
                <w:rFonts w:cstheme="minorHAnsi"/>
                <w:sz w:val="20"/>
                <w:szCs w:val="20"/>
              </w:rPr>
            </w:pPr>
          </w:p>
          <w:p w:rsidR="00434114" w:rsidRPr="000F2162" w:rsidRDefault="00434114" w:rsidP="00DB073A">
            <w:pPr>
              <w:pStyle w:val="ListParagraph"/>
              <w:ind w:left="0"/>
              <w:rPr>
                <w:rFonts w:cstheme="minorHAnsi"/>
                <w:i/>
                <w:color w:val="000000"/>
                <w:sz w:val="20"/>
                <w:szCs w:val="20"/>
              </w:rPr>
            </w:pPr>
            <w:r w:rsidRPr="000F2162">
              <w:rPr>
                <w:rFonts w:cstheme="minorHAnsi"/>
                <w:i/>
                <w:color w:val="000000"/>
                <w:sz w:val="20"/>
                <w:szCs w:val="20"/>
              </w:rPr>
              <w:t>YES/NO</w:t>
            </w:r>
          </w:p>
          <w:p w:rsidR="00434114" w:rsidRPr="000F2162" w:rsidRDefault="00434114" w:rsidP="00DB073A">
            <w:pPr>
              <w:pStyle w:val="ListParagraph"/>
              <w:ind w:left="0"/>
              <w:rPr>
                <w:rFonts w:cstheme="minorHAnsi"/>
                <w:sz w:val="20"/>
                <w:szCs w:val="20"/>
              </w:rPr>
            </w:pPr>
          </w:p>
        </w:tc>
      </w:tr>
      <w:tr w:rsidR="00434114" w:rsidRPr="000F2162" w:rsidTr="00C40ED7">
        <w:trPr>
          <w:trHeight w:val="835"/>
        </w:trPr>
        <w:tc>
          <w:tcPr>
            <w:tcW w:w="6125" w:type="dxa"/>
          </w:tcPr>
          <w:p w:rsidR="00434114" w:rsidRDefault="00434114" w:rsidP="00DB073A">
            <w:pPr>
              <w:pStyle w:val="ListParagraph"/>
              <w:ind w:left="0"/>
              <w:jc w:val="right"/>
              <w:rPr>
                <w:rFonts w:cstheme="minorHAnsi"/>
                <w:b/>
                <w:i/>
                <w:color w:val="000000"/>
                <w:sz w:val="20"/>
                <w:szCs w:val="20"/>
                <w:highlight w:val="lightGray"/>
              </w:rPr>
            </w:pPr>
          </w:p>
          <w:p w:rsidR="00434114" w:rsidRPr="000F2162" w:rsidRDefault="00434114" w:rsidP="00DB073A">
            <w:pPr>
              <w:pStyle w:val="ListParagraph"/>
              <w:ind w:left="0"/>
              <w:jc w:val="right"/>
              <w:rPr>
                <w:rFonts w:cstheme="minorHAnsi"/>
                <w:b/>
                <w:i/>
                <w:color w:val="000000"/>
                <w:sz w:val="20"/>
                <w:szCs w:val="20"/>
                <w:highlight w:val="lightGray"/>
              </w:rPr>
            </w:pPr>
            <w:r w:rsidRPr="000F2162">
              <w:rPr>
                <w:rFonts w:cstheme="minorHAnsi"/>
                <w:b/>
                <w:i/>
                <w:color w:val="000000"/>
                <w:sz w:val="20"/>
                <w:szCs w:val="20"/>
                <w:highlight w:val="lightGray"/>
              </w:rPr>
              <w:t>Industry Bilateral Request</w:t>
            </w:r>
            <w:r>
              <w:rPr>
                <w:rFonts w:cstheme="minorHAnsi"/>
                <w:b/>
                <w:i/>
                <w:color w:val="000000"/>
                <w:sz w:val="20"/>
                <w:szCs w:val="20"/>
                <w:highlight w:val="lightGray"/>
              </w:rPr>
              <w:t xml:space="preserve"> Motivation</w:t>
            </w:r>
          </w:p>
          <w:p w:rsidR="00434114" w:rsidRPr="000F2162" w:rsidRDefault="00434114" w:rsidP="00C40ED7">
            <w:pPr>
              <w:pStyle w:val="ListParagraph"/>
              <w:ind w:left="0"/>
              <w:jc w:val="right"/>
              <w:rPr>
                <w:rFonts w:cstheme="minorHAnsi"/>
                <w:color w:val="000000"/>
                <w:sz w:val="20"/>
                <w:szCs w:val="20"/>
              </w:rPr>
            </w:pPr>
            <w:r w:rsidRPr="000F2162">
              <w:rPr>
                <w:rFonts w:cstheme="minorHAnsi"/>
                <w:i/>
                <w:color w:val="000000"/>
                <w:sz w:val="20"/>
                <w:szCs w:val="20"/>
              </w:rPr>
              <w:t>Please specify the motivation for your meeting request</w:t>
            </w: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rPr>
          <w:trHeight w:val="268"/>
        </w:trPr>
        <w:tc>
          <w:tcPr>
            <w:tcW w:w="6125" w:type="dxa"/>
          </w:tcPr>
          <w:p w:rsidR="00434114" w:rsidRPr="000F2162" w:rsidRDefault="00434114" w:rsidP="00C40ED7">
            <w:pPr>
              <w:pStyle w:val="ListParagraph"/>
              <w:ind w:left="0"/>
              <w:rPr>
                <w:rFonts w:cstheme="minorHAnsi"/>
                <w:sz w:val="20"/>
                <w:szCs w:val="20"/>
              </w:rPr>
            </w:pPr>
            <w:r w:rsidRPr="000F2162">
              <w:rPr>
                <w:rFonts w:cstheme="minorHAnsi"/>
                <w:b/>
                <w:color w:val="000000"/>
                <w:sz w:val="20"/>
                <w:szCs w:val="20"/>
              </w:rPr>
              <w:t>Company’s Point of Contact</w:t>
            </w:r>
          </w:p>
        </w:tc>
        <w:tc>
          <w:tcPr>
            <w:tcW w:w="3260" w:type="dxa"/>
          </w:tcPr>
          <w:p w:rsidR="00434114" w:rsidRPr="000F2162" w:rsidRDefault="00434114" w:rsidP="00DB073A">
            <w:pPr>
              <w:pStyle w:val="ListParagraph"/>
              <w:ind w:left="0"/>
              <w:rPr>
                <w:rFonts w:cstheme="minorHAnsi"/>
                <w:sz w:val="20"/>
                <w:szCs w:val="20"/>
              </w:rPr>
            </w:pPr>
          </w:p>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jc w:val="right"/>
              <w:rPr>
                <w:rFonts w:cstheme="minorHAnsi"/>
                <w:color w:val="000000"/>
                <w:sz w:val="20"/>
                <w:szCs w:val="20"/>
              </w:rPr>
            </w:pPr>
            <w:r w:rsidRPr="000F2162">
              <w:rPr>
                <w:rFonts w:cstheme="minorHAnsi"/>
                <w:color w:val="000000"/>
                <w:sz w:val="20"/>
                <w:szCs w:val="20"/>
              </w:rPr>
              <w:t xml:space="preserve">Full Name </w:t>
            </w:r>
          </w:p>
          <w:p w:rsidR="00434114" w:rsidRPr="000F2162" w:rsidRDefault="00434114" w:rsidP="00DB073A">
            <w:pPr>
              <w:pStyle w:val="ListParagraph"/>
              <w:ind w:left="0"/>
              <w:rPr>
                <w:rFonts w:cstheme="minorHAnsi"/>
                <w:sz w:val="20"/>
                <w:szCs w:val="20"/>
              </w:rPr>
            </w:pPr>
          </w:p>
        </w:tc>
        <w:tc>
          <w:tcPr>
            <w:tcW w:w="3260" w:type="dxa"/>
          </w:tcPr>
          <w:p w:rsidR="00434114" w:rsidRPr="000F2162" w:rsidRDefault="00434114" w:rsidP="00DB073A">
            <w:pPr>
              <w:pStyle w:val="ListParagraph"/>
              <w:ind w:left="0"/>
              <w:rPr>
                <w:rFonts w:cstheme="minorHAnsi"/>
                <w:sz w:val="20"/>
                <w:szCs w:val="20"/>
              </w:rPr>
            </w:pPr>
          </w:p>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jc w:val="right"/>
              <w:rPr>
                <w:rFonts w:cstheme="minorHAnsi"/>
                <w:color w:val="000000"/>
                <w:sz w:val="20"/>
                <w:szCs w:val="20"/>
              </w:rPr>
            </w:pPr>
            <w:r w:rsidRPr="000F2162">
              <w:rPr>
                <w:rFonts w:cstheme="minorHAnsi"/>
                <w:color w:val="000000"/>
                <w:sz w:val="20"/>
                <w:szCs w:val="20"/>
              </w:rPr>
              <w:t xml:space="preserve">Position </w:t>
            </w:r>
          </w:p>
          <w:p w:rsidR="00434114" w:rsidRPr="000F2162" w:rsidRDefault="00434114" w:rsidP="00DB073A">
            <w:pPr>
              <w:pStyle w:val="ListParagraph"/>
              <w:ind w:left="0"/>
              <w:rPr>
                <w:rFonts w:cstheme="minorHAnsi"/>
                <w:sz w:val="20"/>
                <w:szCs w:val="20"/>
              </w:rPr>
            </w:pPr>
          </w:p>
        </w:tc>
        <w:tc>
          <w:tcPr>
            <w:tcW w:w="3260" w:type="dxa"/>
          </w:tcPr>
          <w:p w:rsidR="00434114" w:rsidRPr="000F2162" w:rsidRDefault="00434114" w:rsidP="00DB073A">
            <w:pPr>
              <w:pStyle w:val="ListParagraph"/>
              <w:ind w:left="0"/>
              <w:rPr>
                <w:rFonts w:cstheme="minorHAnsi"/>
                <w:sz w:val="20"/>
                <w:szCs w:val="20"/>
              </w:rPr>
            </w:pPr>
          </w:p>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jc w:val="right"/>
              <w:rPr>
                <w:rFonts w:cstheme="minorHAnsi"/>
                <w:color w:val="000000"/>
                <w:sz w:val="20"/>
                <w:szCs w:val="20"/>
              </w:rPr>
            </w:pPr>
            <w:r w:rsidRPr="000F2162">
              <w:rPr>
                <w:rFonts w:cstheme="minorHAnsi"/>
                <w:color w:val="000000"/>
                <w:sz w:val="20"/>
                <w:szCs w:val="20"/>
              </w:rPr>
              <w:t xml:space="preserve">E-mail </w:t>
            </w:r>
          </w:p>
          <w:p w:rsidR="00434114" w:rsidRPr="000F2162" w:rsidRDefault="00434114" w:rsidP="00DB073A">
            <w:pPr>
              <w:pStyle w:val="ListParagraph"/>
              <w:ind w:left="0"/>
              <w:rPr>
                <w:rFonts w:cstheme="minorHAnsi"/>
                <w:sz w:val="20"/>
                <w:szCs w:val="20"/>
              </w:rPr>
            </w:pP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C40ED7">
        <w:tc>
          <w:tcPr>
            <w:tcW w:w="6125" w:type="dxa"/>
          </w:tcPr>
          <w:p w:rsidR="00434114" w:rsidRPr="000F2162" w:rsidRDefault="00434114" w:rsidP="00DB073A">
            <w:pPr>
              <w:pStyle w:val="ListParagraph"/>
              <w:ind w:left="0"/>
              <w:jc w:val="right"/>
              <w:rPr>
                <w:rFonts w:cstheme="minorHAnsi"/>
                <w:color w:val="000000"/>
                <w:sz w:val="20"/>
                <w:szCs w:val="20"/>
              </w:rPr>
            </w:pPr>
            <w:r w:rsidRPr="000F2162">
              <w:rPr>
                <w:rFonts w:cstheme="minorHAnsi"/>
                <w:color w:val="000000"/>
                <w:sz w:val="20"/>
                <w:szCs w:val="20"/>
              </w:rPr>
              <w:t xml:space="preserve">Telephone Number </w:t>
            </w:r>
          </w:p>
          <w:p w:rsidR="00434114" w:rsidRPr="000F2162" w:rsidRDefault="00434114" w:rsidP="00DB073A">
            <w:pPr>
              <w:pStyle w:val="ListParagraph"/>
              <w:ind w:left="0"/>
              <w:rPr>
                <w:rFonts w:cstheme="minorHAnsi"/>
                <w:sz w:val="20"/>
                <w:szCs w:val="20"/>
              </w:rPr>
            </w:pPr>
          </w:p>
        </w:tc>
        <w:tc>
          <w:tcPr>
            <w:tcW w:w="3260" w:type="dxa"/>
          </w:tcPr>
          <w:p w:rsidR="00434114" w:rsidRPr="000F2162" w:rsidRDefault="00434114" w:rsidP="00DB073A">
            <w:pPr>
              <w:pStyle w:val="ListParagraph"/>
              <w:ind w:left="0"/>
              <w:rPr>
                <w:rFonts w:cstheme="minorHAnsi"/>
                <w:sz w:val="20"/>
                <w:szCs w:val="20"/>
              </w:rPr>
            </w:pPr>
          </w:p>
        </w:tc>
      </w:tr>
      <w:tr w:rsidR="00434114" w:rsidRPr="000F2162" w:rsidTr="00FE1C29">
        <w:trPr>
          <w:trHeight w:val="721"/>
        </w:trPr>
        <w:tc>
          <w:tcPr>
            <w:tcW w:w="6125" w:type="dxa"/>
          </w:tcPr>
          <w:p w:rsidR="00434114" w:rsidRPr="000F2162" w:rsidRDefault="00434114" w:rsidP="00CA5EE5">
            <w:pPr>
              <w:pStyle w:val="ListParagraph"/>
              <w:ind w:left="0"/>
              <w:rPr>
                <w:rFonts w:cstheme="minorHAnsi"/>
                <w:color w:val="000000"/>
                <w:sz w:val="20"/>
                <w:szCs w:val="20"/>
              </w:rPr>
            </w:pPr>
            <w:r>
              <w:rPr>
                <w:rFonts w:cstheme="minorHAnsi"/>
                <w:color w:val="000000"/>
                <w:sz w:val="20"/>
                <w:szCs w:val="20"/>
              </w:rPr>
              <w:t>Signature</w:t>
            </w:r>
          </w:p>
        </w:tc>
        <w:tc>
          <w:tcPr>
            <w:tcW w:w="3260" w:type="dxa"/>
          </w:tcPr>
          <w:p w:rsidR="00434114" w:rsidRPr="000F2162" w:rsidRDefault="00434114" w:rsidP="00DB073A">
            <w:pPr>
              <w:pStyle w:val="ListParagraph"/>
              <w:ind w:left="0"/>
              <w:rPr>
                <w:rFonts w:cstheme="minorHAnsi"/>
                <w:sz w:val="20"/>
                <w:szCs w:val="20"/>
              </w:rPr>
            </w:pPr>
          </w:p>
        </w:tc>
      </w:tr>
    </w:tbl>
    <w:p w:rsidR="00F84AA1" w:rsidRPr="00754511" w:rsidRDefault="00F84AA1" w:rsidP="00FE1C29">
      <w:pPr>
        <w:pStyle w:val="Default"/>
        <w:autoSpaceDE/>
        <w:autoSpaceDN/>
        <w:adjustRightInd/>
        <w:spacing w:after="200" w:line="276" w:lineRule="auto"/>
        <w:contextualSpacing/>
      </w:pPr>
    </w:p>
    <w:sectPr w:rsidR="00F84AA1" w:rsidRPr="00754511" w:rsidSect="002F4C5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27" w:rsidRDefault="00977D27" w:rsidP="00305C80">
      <w:pPr>
        <w:spacing w:after="0" w:line="240" w:lineRule="auto"/>
      </w:pPr>
      <w:r>
        <w:separator/>
      </w:r>
    </w:p>
  </w:endnote>
  <w:endnote w:type="continuationSeparator" w:id="0">
    <w:p w:rsidR="00977D27" w:rsidRDefault="00977D27" w:rsidP="0030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27" w:rsidRDefault="00977D27" w:rsidP="00305C80">
      <w:pPr>
        <w:spacing w:after="0" w:line="240" w:lineRule="auto"/>
      </w:pPr>
      <w:r>
        <w:separator/>
      </w:r>
    </w:p>
  </w:footnote>
  <w:footnote w:type="continuationSeparator" w:id="0">
    <w:p w:rsidR="00977D27" w:rsidRDefault="00977D27" w:rsidP="0030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29" w:rsidRDefault="005E1A29">
    <w:pPr>
      <w:pStyle w:val="Header"/>
    </w:pPr>
    <w:r>
      <w:rPr>
        <w:noProof/>
        <w:lang w:eastAsia="en-GB"/>
      </w:rPr>
      <w:drawing>
        <wp:anchor distT="0" distB="0" distL="114300" distR="114300" simplePos="0" relativeHeight="251659264" behindDoc="0" locked="0" layoutInCell="1" allowOverlap="1" wp14:anchorId="11D54E8D" wp14:editId="3F33321E">
          <wp:simplePos x="0" y="0"/>
          <wp:positionH relativeFrom="column">
            <wp:posOffset>-351155</wp:posOffset>
          </wp:positionH>
          <wp:positionV relativeFrom="paragraph">
            <wp:posOffset>-297180</wp:posOffset>
          </wp:positionV>
          <wp:extent cx="1500505" cy="74295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hales Alenia Space-Leonardo1.jpg"/>
                  <pic:cNvPicPr/>
                </pic:nvPicPr>
                <pic:blipFill>
                  <a:blip r:embed="rId1">
                    <a:extLst>
                      <a:ext uri="{28A0092B-C50C-407E-A947-70E740481C1C}">
                        <a14:useLocalDpi xmlns:a14="http://schemas.microsoft.com/office/drawing/2010/main" val="0"/>
                      </a:ext>
                    </a:extLst>
                  </a:blip>
                  <a:stretch>
                    <a:fillRect/>
                  </a:stretch>
                </pic:blipFill>
                <pic:spPr>
                  <a:xfrm>
                    <a:off x="0" y="0"/>
                    <a:ext cx="1500505" cy="7429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5AA"/>
    <w:multiLevelType w:val="hybridMultilevel"/>
    <w:tmpl w:val="2EE8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3794"/>
    <w:multiLevelType w:val="hybridMultilevel"/>
    <w:tmpl w:val="C5A4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0B9E"/>
    <w:multiLevelType w:val="hybridMultilevel"/>
    <w:tmpl w:val="B38453D2"/>
    <w:lvl w:ilvl="0" w:tplc="E362AD88">
      <w:numFmt w:val="bullet"/>
      <w:lvlText w:val="–"/>
      <w:lvlJc w:val="left"/>
      <w:pPr>
        <w:ind w:left="720" w:hanging="360"/>
      </w:pPr>
      <w:rPr>
        <w:rFonts w:ascii="Times New Roman" w:eastAsia="Times New Roman" w:hAnsi="Times New Roman" w:cs="Times New Roman" w:hint="default"/>
        <w:color w:val="0054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3F15"/>
    <w:multiLevelType w:val="hybridMultilevel"/>
    <w:tmpl w:val="8390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65C35"/>
    <w:multiLevelType w:val="hybridMultilevel"/>
    <w:tmpl w:val="47FC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B1FBB"/>
    <w:multiLevelType w:val="hybridMultilevel"/>
    <w:tmpl w:val="E6B8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61E00"/>
    <w:multiLevelType w:val="hybridMultilevel"/>
    <w:tmpl w:val="3B0CAD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C213EF"/>
    <w:multiLevelType w:val="hybridMultilevel"/>
    <w:tmpl w:val="A17E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33367"/>
    <w:multiLevelType w:val="hybridMultilevel"/>
    <w:tmpl w:val="8B7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2D1C"/>
    <w:multiLevelType w:val="hybridMultilevel"/>
    <w:tmpl w:val="A4C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45D91"/>
    <w:multiLevelType w:val="hybridMultilevel"/>
    <w:tmpl w:val="BBE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6458A"/>
    <w:multiLevelType w:val="hybridMultilevel"/>
    <w:tmpl w:val="979E19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99F7371"/>
    <w:multiLevelType w:val="hybridMultilevel"/>
    <w:tmpl w:val="1E10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5E44"/>
    <w:multiLevelType w:val="hybridMultilevel"/>
    <w:tmpl w:val="49D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73DD9"/>
    <w:multiLevelType w:val="hybridMultilevel"/>
    <w:tmpl w:val="C37278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7423E2"/>
    <w:multiLevelType w:val="hybridMultilevel"/>
    <w:tmpl w:val="979E19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ED127F5"/>
    <w:multiLevelType w:val="hybridMultilevel"/>
    <w:tmpl w:val="32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D4B50"/>
    <w:multiLevelType w:val="hybridMultilevel"/>
    <w:tmpl w:val="979E19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EAE32A7"/>
    <w:multiLevelType w:val="hybridMultilevel"/>
    <w:tmpl w:val="CF6A9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D4A58"/>
    <w:multiLevelType w:val="hybridMultilevel"/>
    <w:tmpl w:val="9B92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46F42"/>
    <w:multiLevelType w:val="hybridMultilevel"/>
    <w:tmpl w:val="233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F5F47"/>
    <w:multiLevelType w:val="hybridMultilevel"/>
    <w:tmpl w:val="67C8DEF8"/>
    <w:lvl w:ilvl="0" w:tplc="A6B4D748">
      <w:start w:val="1"/>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810A7"/>
    <w:multiLevelType w:val="hybridMultilevel"/>
    <w:tmpl w:val="D134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41707"/>
    <w:multiLevelType w:val="hybridMultilevel"/>
    <w:tmpl w:val="153C03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CC62A89"/>
    <w:multiLevelType w:val="hybridMultilevel"/>
    <w:tmpl w:val="BB88E30A"/>
    <w:lvl w:ilvl="0" w:tplc="4A9232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043CB"/>
    <w:multiLevelType w:val="hybridMultilevel"/>
    <w:tmpl w:val="274AA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9"/>
  </w:num>
  <w:num w:numId="4">
    <w:abstractNumId w:val="25"/>
  </w:num>
  <w:num w:numId="5">
    <w:abstractNumId w:val="15"/>
  </w:num>
  <w:num w:numId="6">
    <w:abstractNumId w:val="6"/>
  </w:num>
  <w:num w:numId="7">
    <w:abstractNumId w:val="9"/>
  </w:num>
  <w:num w:numId="8">
    <w:abstractNumId w:val="8"/>
  </w:num>
  <w:num w:numId="9">
    <w:abstractNumId w:val="7"/>
  </w:num>
  <w:num w:numId="10">
    <w:abstractNumId w:val="18"/>
  </w:num>
  <w:num w:numId="11">
    <w:abstractNumId w:val="14"/>
  </w:num>
  <w:num w:numId="12">
    <w:abstractNumId w:val="10"/>
  </w:num>
  <w:num w:numId="13">
    <w:abstractNumId w:val="13"/>
  </w:num>
  <w:num w:numId="14">
    <w:abstractNumId w:val="5"/>
  </w:num>
  <w:num w:numId="15">
    <w:abstractNumId w:val="0"/>
  </w:num>
  <w:num w:numId="16">
    <w:abstractNumId w:val="12"/>
  </w:num>
  <w:num w:numId="17">
    <w:abstractNumId w:val="22"/>
  </w:num>
  <w:num w:numId="18">
    <w:abstractNumId w:val="1"/>
  </w:num>
  <w:num w:numId="19">
    <w:abstractNumId w:val="4"/>
  </w:num>
  <w:num w:numId="20">
    <w:abstractNumId w:val="20"/>
  </w:num>
  <w:num w:numId="21">
    <w:abstractNumId w:val="3"/>
  </w:num>
  <w:num w:numId="22">
    <w:abstractNumId w:val="16"/>
  </w:num>
  <w:num w:numId="23">
    <w:abstractNumId w:val="23"/>
  </w:num>
  <w:num w:numId="24">
    <w:abstractNumId w:val="1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11"/>
    <w:rsid w:val="00022D8C"/>
    <w:rsid w:val="000327A3"/>
    <w:rsid w:val="00033E56"/>
    <w:rsid w:val="00035537"/>
    <w:rsid w:val="000373BD"/>
    <w:rsid w:val="00052082"/>
    <w:rsid w:val="000774F6"/>
    <w:rsid w:val="00091916"/>
    <w:rsid w:val="000A43DE"/>
    <w:rsid w:val="000A685F"/>
    <w:rsid w:val="000A7248"/>
    <w:rsid w:val="000A78D6"/>
    <w:rsid w:val="000B5F99"/>
    <w:rsid w:val="000C7DD1"/>
    <w:rsid w:val="000E3D5A"/>
    <w:rsid w:val="000F673B"/>
    <w:rsid w:val="0011697E"/>
    <w:rsid w:val="00117DE0"/>
    <w:rsid w:val="00133F8F"/>
    <w:rsid w:val="001369CC"/>
    <w:rsid w:val="00136CBA"/>
    <w:rsid w:val="001444DC"/>
    <w:rsid w:val="00154D1D"/>
    <w:rsid w:val="00185B57"/>
    <w:rsid w:val="00190E58"/>
    <w:rsid w:val="001A10E9"/>
    <w:rsid w:val="001B0B60"/>
    <w:rsid w:val="001B4BFA"/>
    <w:rsid w:val="001B5D6A"/>
    <w:rsid w:val="001C04BC"/>
    <w:rsid w:val="001E6376"/>
    <w:rsid w:val="001F12D9"/>
    <w:rsid w:val="00204A83"/>
    <w:rsid w:val="002200B3"/>
    <w:rsid w:val="00231F08"/>
    <w:rsid w:val="002332B7"/>
    <w:rsid w:val="00250E9D"/>
    <w:rsid w:val="002767B7"/>
    <w:rsid w:val="00282972"/>
    <w:rsid w:val="002B12AA"/>
    <w:rsid w:val="002B656E"/>
    <w:rsid w:val="002E574E"/>
    <w:rsid w:val="002F4C5F"/>
    <w:rsid w:val="00300320"/>
    <w:rsid w:val="00305C80"/>
    <w:rsid w:val="00313251"/>
    <w:rsid w:val="003143D0"/>
    <w:rsid w:val="0031624F"/>
    <w:rsid w:val="00320300"/>
    <w:rsid w:val="00323707"/>
    <w:rsid w:val="00332F9A"/>
    <w:rsid w:val="00351307"/>
    <w:rsid w:val="003516F7"/>
    <w:rsid w:val="003B0EB3"/>
    <w:rsid w:val="003B19C3"/>
    <w:rsid w:val="003B3672"/>
    <w:rsid w:val="003C3515"/>
    <w:rsid w:val="003C6DEB"/>
    <w:rsid w:val="003D6636"/>
    <w:rsid w:val="00412D66"/>
    <w:rsid w:val="00414FB4"/>
    <w:rsid w:val="004254D5"/>
    <w:rsid w:val="004279A6"/>
    <w:rsid w:val="0043331D"/>
    <w:rsid w:val="00434114"/>
    <w:rsid w:val="00446B51"/>
    <w:rsid w:val="00450A67"/>
    <w:rsid w:val="00467362"/>
    <w:rsid w:val="00484D98"/>
    <w:rsid w:val="004915F8"/>
    <w:rsid w:val="00492745"/>
    <w:rsid w:val="004A2073"/>
    <w:rsid w:val="004A72AA"/>
    <w:rsid w:val="004B1E95"/>
    <w:rsid w:val="004F11A7"/>
    <w:rsid w:val="00507514"/>
    <w:rsid w:val="005143C2"/>
    <w:rsid w:val="00520A0F"/>
    <w:rsid w:val="00520B43"/>
    <w:rsid w:val="00524D7E"/>
    <w:rsid w:val="00525B77"/>
    <w:rsid w:val="0053729B"/>
    <w:rsid w:val="0055583E"/>
    <w:rsid w:val="0056592E"/>
    <w:rsid w:val="00570E72"/>
    <w:rsid w:val="005732C6"/>
    <w:rsid w:val="0057545F"/>
    <w:rsid w:val="005856FB"/>
    <w:rsid w:val="005A6877"/>
    <w:rsid w:val="005B6D0D"/>
    <w:rsid w:val="005D4D42"/>
    <w:rsid w:val="005E1A29"/>
    <w:rsid w:val="005E2A84"/>
    <w:rsid w:val="005F1FBC"/>
    <w:rsid w:val="0061254F"/>
    <w:rsid w:val="006126B4"/>
    <w:rsid w:val="0062273C"/>
    <w:rsid w:val="00630C1C"/>
    <w:rsid w:val="006514C2"/>
    <w:rsid w:val="00663147"/>
    <w:rsid w:val="00667F45"/>
    <w:rsid w:val="006C27CD"/>
    <w:rsid w:val="006D4A15"/>
    <w:rsid w:val="006D59F7"/>
    <w:rsid w:val="006F2B01"/>
    <w:rsid w:val="006F78B4"/>
    <w:rsid w:val="00736874"/>
    <w:rsid w:val="007444FD"/>
    <w:rsid w:val="0074750F"/>
    <w:rsid w:val="0075035C"/>
    <w:rsid w:val="00754511"/>
    <w:rsid w:val="00760B05"/>
    <w:rsid w:val="00777CC1"/>
    <w:rsid w:val="007801E0"/>
    <w:rsid w:val="007862F2"/>
    <w:rsid w:val="007902F3"/>
    <w:rsid w:val="007B267E"/>
    <w:rsid w:val="007B3F91"/>
    <w:rsid w:val="007C7980"/>
    <w:rsid w:val="007E3CAD"/>
    <w:rsid w:val="00800677"/>
    <w:rsid w:val="00802A4E"/>
    <w:rsid w:val="00817843"/>
    <w:rsid w:val="00823034"/>
    <w:rsid w:val="008238BE"/>
    <w:rsid w:val="008272D0"/>
    <w:rsid w:val="008331DF"/>
    <w:rsid w:val="008369F3"/>
    <w:rsid w:val="00840304"/>
    <w:rsid w:val="0084718F"/>
    <w:rsid w:val="00863DC8"/>
    <w:rsid w:val="00863E10"/>
    <w:rsid w:val="00866399"/>
    <w:rsid w:val="00872304"/>
    <w:rsid w:val="0087468A"/>
    <w:rsid w:val="00881A19"/>
    <w:rsid w:val="0088524C"/>
    <w:rsid w:val="008928CE"/>
    <w:rsid w:val="008934BC"/>
    <w:rsid w:val="008962A9"/>
    <w:rsid w:val="008A77A1"/>
    <w:rsid w:val="008D5A80"/>
    <w:rsid w:val="008D5D6C"/>
    <w:rsid w:val="008D7DC1"/>
    <w:rsid w:val="008E2364"/>
    <w:rsid w:val="008E5618"/>
    <w:rsid w:val="008E7A36"/>
    <w:rsid w:val="00905B8F"/>
    <w:rsid w:val="00944DC4"/>
    <w:rsid w:val="009578F4"/>
    <w:rsid w:val="009757EE"/>
    <w:rsid w:val="00977D27"/>
    <w:rsid w:val="00981173"/>
    <w:rsid w:val="00981916"/>
    <w:rsid w:val="00983453"/>
    <w:rsid w:val="009907A8"/>
    <w:rsid w:val="009943DE"/>
    <w:rsid w:val="009A2BE1"/>
    <w:rsid w:val="009A6502"/>
    <w:rsid w:val="009B4251"/>
    <w:rsid w:val="009F7258"/>
    <w:rsid w:val="00A03A47"/>
    <w:rsid w:val="00A05B29"/>
    <w:rsid w:val="00A1151D"/>
    <w:rsid w:val="00A13626"/>
    <w:rsid w:val="00A1799A"/>
    <w:rsid w:val="00A22378"/>
    <w:rsid w:val="00A22918"/>
    <w:rsid w:val="00A3298A"/>
    <w:rsid w:val="00A37441"/>
    <w:rsid w:val="00A43DC9"/>
    <w:rsid w:val="00A74450"/>
    <w:rsid w:val="00AB4C00"/>
    <w:rsid w:val="00AC2ACB"/>
    <w:rsid w:val="00AC690E"/>
    <w:rsid w:val="00AC76C5"/>
    <w:rsid w:val="00AD013F"/>
    <w:rsid w:val="00AE034D"/>
    <w:rsid w:val="00AE548A"/>
    <w:rsid w:val="00B14C1F"/>
    <w:rsid w:val="00B33E66"/>
    <w:rsid w:val="00B40514"/>
    <w:rsid w:val="00B60478"/>
    <w:rsid w:val="00B90FCE"/>
    <w:rsid w:val="00B9507D"/>
    <w:rsid w:val="00B96BB6"/>
    <w:rsid w:val="00BC30D2"/>
    <w:rsid w:val="00BF38E1"/>
    <w:rsid w:val="00BF5BF1"/>
    <w:rsid w:val="00BF6800"/>
    <w:rsid w:val="00BF7638"/>
    <w:rsid w:val="00C00017"/>
    <w:rsid w:val="00C02AD3"/>
    <w:rsid w:val="00C078B5"/>
    <w:rsid w:val="00C33EDF"/>
    <w:rsid w:val="00C34D5C"/>
    <w:rsid w:val="00C35968"/>
    <w:rsid w:val="00C40ED7"/>
    <w:rsid w:val="00C4307D"/>
    <w:rsid w:val="00C525DB"/>
    <w:rsid w:val="00C53623"/>
    <w:rsid w:val="00C5726E"/>
    <w:rsid w:val="00C57E52"/>
    <w:rsid w:val="00C666AA"/>
    <w:rsid w:val="00C73C18"/>
    <w:rsid w:val="00C8013D"/>
    <w:rsid w:val="00C80AE1"/>
    <w:rsid w:val="00C81D90"/>
    <w:rsid w:val="00C87648"/>
    <w:rsid w:val="00CA5EE5"/>
    <w:rsid w:val="00CA60FF"/>
    <w:rsid w:val="00CB39F9"/>
    <w:rsid w:val="00CC2F13"/>
    <w:rsid w:val="00CC50E3"/>
    <w:rsid w:val="00CD22B9"/>
    <w:rsid w:val="00D03FAF"/>
    <w:rsid w:val="00D22632"/>
    <w:rsid w:val="00D24196"/>
    <w:rsid w:val="00D33B51"/>
    <w:rsid w:val="00D559BB"/>
    <w:rsid w:val="00D566F2"/>
    <w:rsid w:val="00D64424"/>
    <w:rsid w:val="00D75ECC"/>
    <w:rsid w:val="00D92238"/>
    <w:rsid w:val="00D94B70"/>
    <w:rsid w:val="00D95D82"/>
    <w:rsid w:val="00D970CE"/>
    <w:rsid w:val="00DB1A2B"/>
    <w:rsid w:val="00DB3CE6"/>
    <w:rsid w:val="00DC00F8"/>
    <w:rsid w:val="00DC496E"/>
    <w:rsid w:val="00E02FEC"/>
    <w:rsid w:val="00E1580D"/>
    <w:rsid w:val="00E32A7D"/>
    <w:rsid w:val="00E34AF7"/>
    <w:rsid w:val="00E64B21"/>
    <w:rsid w:val="00E822A7"/>
    <w:rsid w:val="00E82ADD"/>
    <w:rsid w:val="00EB007C"/>
    <w:rsid w:val="00EB36E2"/>
    <w:rsid w:val="00ED3183"/>
    <w:rsid w:val="00EE3479"/>
    <w:rsid w:val="00EF44A6"/>
    <w:rsid w:val="00F102E4"/>
    <w:rsid w:val="00F1166E"/>
    <w:rsid w:val="00F120B4"/>
    <w:rsid w:val="00F14344"/>
    <w:rsid w:val="00F15D27"/>
    <w:rsid w:val="00F20C73"/>
    <w:rsid w:val="00F33DBB"/>
    <w:rsid w:val="00F40653"/>
    <w:rsid w:val="00F84AA1"/>
    <w:rsid w:val="00F9700E"/>
    <w:rsid w:val="00FA0983"/>
    <w:rsid w:val="00FA1A19"/>
    <w:rsid w:val="00FB3739"/>
    <w:rsid w:val="00FB6DF1"/>
    <w:rsid w:val="00FC1849"/>
    <w:rsid w:val="00FC62D4"/>
    <w:rsid w:val="00FD507B"/>
    <w:rsid w:val="00FE1C29"/>
    <w:rsid w:val="00FE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AE646AD-FCAB-4EA0-B95B-527F2428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1A7"/>
    <w:rPr>
      <w:color w:val="0000FF" w:themeColor="hyperlink"/>
      <w:u w:val="single"/>
    </w:rPr>
  </w:style>
  <w:style w:type="paragraph" w:styleId="Header">
    <w:name w:val="header"/>
    <w:basedOn w:val="Normal"/>
    <w:link w:val="HeaderChar"/>
    <w:uiPriority w:val="99"/>
    <w:unhideWhenUsed/>
    <w:rsid w:val="00305C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5C80"/>
  </w:style>
  <w:style w:type="paragraph" w:styleId="Footer">
    <w:name w:val="footer"/>
    <w:basedOn w:val="Normal"/>
    <w:link w:val="FooterChar"/>
    <w:uiPriority w:val="99"/>
    <w:unhideWhenUsed/>
    <w:rsid w:val="00305C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5C80"/>
  </w:style>
  <w:style w:type="paragraph" w:styleId="BalloonText">
    <w:name w:val="Balloon Text"/>
    <w:basedOn w:val="Normal"/>
    <w:link w:val="BalloonTextChar"/>
    <w:uiPriority w:val="99"/>
    <w:semiHidden/>
    <w:unhideWhenUsed/>
    <w:rsid w:val="00630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C1C"/>
    <w:rPr>
      <w:rFonts w:ascii="Tahoma" w:hAnsi="Tahoma" w:cs="Tahoma"/>
      <w:sz w:val="16"/>
      <w:szCs w:val="16"/>
    </w:rPr>
  </w:style>
  <w:style w:type="paragraph" w:styleId="ListParagraph">
    <w:name w:val="List Paragraph"/>
    <w:basedOn w:val="Normal"/>
    <w:uiPriority w:val="34"/>
    <w:qFormat/>
    <w:rsid w:val="00C078B5"/>
    <w:pPr>
      <w:ind w:left="720"/>
      <w:contextualSpacing/>
    </w:pPr>
  </w:style>
  <w:style w:type="paragraph" w:customStyle="1" w:styleId="Default">
    <w:name w:val="Default"/>
    <w:rsid w:val="0062273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2273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2273C"/>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A22918"/>
    <w:rPr>
      <w:sz w:val="16"/>
      <w:szCs w:val="16"/>
    </w:rPr>
  </w:style>
  <w:style w:type="paragraph" w:styleId="CommentText">
    <w:name w:val="annotation text"/>
    <w:basedOn w:val="Normal"/>
    <w:link w:val="CommentTextChar"/>
    <w:uiPriority w:val="99"/>
    <w:semiHidden/>
    <w:unhideWhenUsed/>
    <w:rsid w:val="00A22918"/>
    <w:pPr>
      <w:spacing w:line="240" w:lineRule="auto"/>
    </w:pPr>
    <w:rPr>
      <w:sz w:val="20"/>
      <w:szCs w:val="20"/>
    </w:rPr>
  </w:style>
  <w:style w:type="character" w:customStyle="1" w:styleId="CommentTextChar">
    <w:name w:val="Comment Text Char"/>
    <w:basedOn w:val="DefaultParagraphFont"/>
    <w:link w:val="CommentText"/>
    <w:uiPriority w:val="99"/>
    <w:semiHidden/>
    <w:rsid w:val="00A22918"/>
    <w:rPr>
      <w:sz w:val="20"/>
      <w:szCs w:val="20"/>
    </w:rPr>
  </w:style>
  <w:style w:type="paragraph" w:styleId="CommentSubject">
    <w:name w:val="annotation subject"/>
    <w:basedOn w:val="CommentText"/>
    <w:next w:val="CommentText"/>
    <w:link w:val="CommentSubjectChar"/>
    <w:uiPriority w:val="99"/>
    <w:semiHidden/>
    <w:unhideWhenUsed/>
    <w:rsid w:val="00A22918"/>
    <w:rPr>
      <w:b/>
      <w:bCs/>
    </w:rPr>
  </w:style>
  <w:style w:type="character" w:customStyle="1" w:styleId="CommentSubjectChar">
    <w:name w:val="Comment Subject Char"/>
    <w:basedOn w:val="CommentTextChar"/>
    <w:link w:val="CommentSubject"/>
    <w:uiPriority w:val="99"/>
    <w:semiHidden/>
    <w:rsid w:val="00A22918"/>
    <w:rPr>
      <w:b/>
      <w:bCs/>
      <w:sz w:val="20"/>
      <w:szCs w:val="20"/>
    </w:rPr>
  </w:style>
  <w:style w:type="table" w:customStyle="1" w:styleId="TableGrid1">
    <w:name w:val="Table Grid1"/>
    <w:basedOn w:val="TableNormal"/>
    <w:next w:val="TableGrid"/>
    <w:uiPriority w:val="59"/>
    <w:rsid w:val="002B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0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3900">
      <w:bodyDiv w:val="1"/>
      <w:marLeft w:val="0"/>
      <w:marRight w:val="0"/>
      <w:marTop w:val="0"/>
      <w:marBottom w:val="0"/>
      <w:divBdr>
        <w:top w:val="none" w:sz="0" w:space="0" w:color="auto"/>
        <w:left w:val="none" w:sz="0" w:space="0" w:color="auto"/>
        <w:bottom w:val="none" w:sz="0" w:space="0" w:color="auto"/>
        <w:right w:val="none" w:sz="0" w:space="0" w:color="auto"/>
      </w:divBdr>
    </w:div>
    <w:div w:id="1006637271">
      <w:bodyDiv w:val="1"/>
      <w:marLeft w:val="0"/>
      <w:marRight w:val="0"/>
      <w:marTop w:val="0"/>
      <w:marBottom w:val="0"/>
      <w:divBdr>
        <w:top w:val="none" w:sz="0" w:space="0" w:color="auto"/>
        <w:left w:val="none" w:sz="0" w:space="0" w:color="auto"/>
        <w:bottom w:val="none" w:sz="0" w:space="0" w:color="auto"/>
        <w:right w:val="none" w:sz="0" w:space="0" w:color="auto"/>
      </w:divBdr>
    </w:div>
    <w:div w:id="1270553576">
      <w:bodyDiv w:val="1"/>
      <w:marLeft w:val="0"/>
      <w:marRight w:val="0"/>
      <w:marTop w:val="0"/>
      <w:marBottom w:val="0"/>
      <w:divBdr>
        <w:top w:val="none" w:sz="0" w:space="0" w:color="auto"/>
        <w:left w:val="none" w:sz="0" w:space="0" w:color="auto"/>
        <w:bottom w:val="none" w:sz="0" w:space="0" w:color="auto"/>
        <w:right w:val="none" w:sz="0" w:space="0" w:color="auto"/>
      </w:divBdr>
    </w:div>
    <w:div w:id="1582451684">
      <w:bodyDiv w:val="1"/>
      <w:marLeft w:val="0"/>
      <w:marRight w:val="0"/>
      <w:marTop w:val="0"/>
      <w:marBottom w:val="0"/>
      <w:divBdr>
        <w:top w:val="none" w:sz="0" w:space="0" w:color="auto"/>
        <w:left w:val="none" w:sz="0" w:space="0" w:color="auto"/>
        <w:bottom w:val="none" w:sz="0" w:space="0" w:color="auto"/>
        <w:right w:val="none" w:sz="0" w:space="0" w:color="auto"/>
      </w:divBdr>
    </w:div>
    <w:div w:id="1898126649">
      <w:bodyDiv w:val="1"/>
      <w:marLeft w:val="0"/>
      <w:marRight w:val="0"/>
      <w:marTop w:val="0"/>
      <w:marBottom w:val="0"/>
      <w:divBdr>
        <w:top w:val="none" w:sz="0" w:space="0" w:color="auto"/>
        <w:left w:val="none" w:sz="0" w:space="0" w:color="auto"/>
        <w:bottom w:val="none" w:sz="0" w:space="0" w:color="auto"/>
        <w:right w:val="none" w:sz="0" w:space="0" w:color="auto"/>
      </w:divBdr>
    </w:div>
    <w:div w:id="1936666675">
      <w:bodyDiv w:val="1"/>
      <w:marLeft w:val="0"/>
      <w:marRight w:val="0"/>
      <w:marTop w:val="0"/>
      <w:marBottom w:val="0"/>
      <w:divBdr>
        <w:top w:val="none" w:sz="0" w:space="0" w:color="auto"/>
        <w:left w:val="none" w:sz="0" w:space="0" w:color="auto"/>
        <w:bottom w:val="none" w:sz="0" w:space="0" w:color="auto"/>
        <w:right w:val="none" w:sz="0" w:space="0" w:color="auto"/>
      </w:divBdr>
    </w:div>
    <w:div w:id="1997802018">
      <w:bodyDiv w:val="1"/>
      <w:marLeft w:val="0"/>
      <w:marRight w:val="0"/>
      <w:marTop w:val="0"/>
      <w:marBottom w:val="0"/>
      <w:divBdr>
        <w:top w:val="none" w:sz="0" w:space="0" w:color="auto"/>
        <w:left w:val="none" w:sz="0" w:space="0" w:color="auto"/>
        <w:bottom w:val="none" w:sz="0" w:space="0" w:color="auto"/>
        <w:right w:val="none" w:sz="0" w:space="0" w:color="auto"/>
      </w:divBdr>
    </w:div>
    <w:div w:id="2061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mos.esa.int/web/i-hab-industry-day/home" TargetMode="External"/><Relationship Id="rId13" Type="http://schemas.openxmlformats.org/officeDocument/2006/relationships/hyperlink" Target="http://www.esa.int/About_Us/Law_at_ESA/Highlights_of_ESA_rules_and_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its.sso.esa.int/emits/owa/emits.main?p_entity=ALENIA&amp;u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IHAB.Industry.Day@esa.int"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HAB.IndustryDay@thalesaleniaspace.com" TargetMode="External"/><Relationship Id="rId14" Type="http://schemas.openxmlformats.org/officeDocument/2006/relationships/hyperlink" Target="mailto:IHAB.IndustryDay@thalesaleniasp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4E54-553B-4787-ADAE-AB35D303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9828</Characters>
  <Application>Microsoft Office Word</Application>
  <DocSecurity>0</DocSecurity>
  <Lines>317</Lines>
  <Paragraphs>229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Eros POLI</dc:creator>
  <cp:lastModifiedBy>Yael Asher</cp:lastModifiedBy>
  <cp:revision>2</cp:revision>
  <cp:lastPrinted>2020-03-05T16:33:00Z</cp:lastPrinted>
  <dcterms:created xsi:type="dcterms:W3CDTF">2020-04-28T13:48:00Z</dcterms:created>
  <dcterms:modified xsi:type="dcterms:W3CDTF">2020-04-28T13:48:00Z</dcterms:modified>
</cp:coreProperties>
</file>